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ECF" w:rsidRPr="00476C59" w:rsidRDefault="00DD2073" w:rsidP="00C94ECF">
      <w:pPr>
        <w:rPr>
          <w:b/>
          <w:sz w:val="28"/>
          <w:szCs w:val="28"/>
        </w:rPr>
      </w:pPr>
      <w:r w:rsidRPr="00476C59">
        <w:rPr>
          <w:b/>
          <w:sz w:val="28"/>
          <w:szCs w:val="28"/>
        </w:rPr>
        <w:t>Overview of Respondent’s Reply</w:t>
      </w:r>
    </w:p>
    <w:p w:rsidR="00DD2073" w:rsidRPr="00497DCC" w:rsidRDefault="00DD2073" w:rsidP="00883BF1">
      <w:pPr>
        <w:pStyle w:val="ListParagraph"/>
        <w:spacing w:line="240" w:lineRule="auto"/>
        <w:rPr>
          <w:sz w:val="24"/>
          <w:szCs w:val="24"/>
        </w:rPr>
      </w:pPr>
    </w:p>
    <w:p w:rsidR="00AF6F9B" w:rsidRPr="00AF6F9B" w:rsidRDefault="00AF6F9B" w:rsidP="00AF6F9B">
      <w:pPr>
        <w:pStyle w:val="ListParagraph"/>
        <w:numPr>
          <w:ilvl w:val="0"/>
          <w:numId w:val="2"/>
        </w:numPr>
        <w:ind w:hanging="720"/>
        <w:rPr>
          <w:sz w:val="24"/>
          <w:szCs w:val="24"/>
        </w:rPr>
      </w:pPr>
      <w:r w:rsidRPr="00AF6F9B">
        <w:rPr>
          <w:sz w:val="24"/>
          <w:szCs w:val="24"/>
        </w:rPr>
        <w:t xml:space="preserve">At the conclusion of the hearing Counsel suggested that the closing submissions be restricted to 20 pages and be double spaced. Mr. Vice Chair allowed restricted submissions to 30 pages, but reminded the Applicant that he was to adhere to the HRTO guidelines on the drafting of the documents. His comments were directed to the Applicant, but were also meant for Counsel for the Respondent as well. </w:t>
      </w:r>
    </w:p>
    <w:p w:rsidR="00AF6F9B" w:rsidRDefault="00AF6F9B" w:rsidP="00AF6F9B">
      <w:pPr>
        <w:pStyle w:val="ListParagraph"/>
        <w:rPr>
          <w:sz w:val="24"/>
          <w:szCs w:val="24"/>
        </w:rPr>
      </w:pPr>
    </w:p>
    <w:p w:rsidR="00551918" w:rsidRPr="00551918" w:rsidRDefault="00835BF1" w:rsidP="00C94ECF">
      <w:pPr>
        <w:pStyle w:val="ListParagraph"/>
        <w:numPr>
          <w:ilvl w:val="0"/>
          <w:numId w:val="2"/>
        </w:numPr>
        <w:ind w:hanging="720"/>
        <w:rPr>
          <w:sz w:val="24"/>
          <w:szCs w:val="24"/>
        </w:rPr>
      </w:pPr>
      <w:r>
        <w:rPr>
          <w:sz w:val="24"/>
          <w:szCs w:val="24"/>
        </w:rPr>
        <w:t>Counsel has violated these si</w:t>
      </w:r>
      <w:r w:rsidR="00DD2073" w:rsidRPr="00497DCC">
        <w:rPr>
          <w:sz w:val="24"/>
          <w:szCs w:val="24"/>
        </w:rPr>
        <w:t xml:space="preserve">mple protocols and directions. Where the </w:t>
      </w:r>
      <w:r w:rsidR="00902709">
        <w:rPr>
          <w:sz w:val="24"/>
          <w:szCs w:val="24"/>
        </w:rPr>
        <w:t>Applicant</w:t>
      </w:r>
      <w:r w:rsidR="00DD2073" w:rsidRPr="00497DCC">
        <w:rPr>
          <w:sz w:val="24"/>
          <w:szCs w:val="24"/>
        </w:rPr>
        <w:t xml:space="preserve"> complied</w:t>
      </w:r>
      <w:r w:rsidR="00DD2073">
        <w:rPr>
          <w:sz w:val="24"/>
          <w:szCs w:val="24"/>
        </w:rPr>
        <w:t>,</w:t>
      </w:r>
      <w:r w:rsidR="00DD2073" w:rsidRPr="00497DCC">
        <w:rPr>
          <w:sz w:val="24"/>
          <w:szCs w:val="24"/>
        </w:rPr>
        <w:t xml:space="preserve"> </w:t>
      </w:r>
      <w:r w:rsidR="00DD2073">
        <w:rPr>
          <w:sz w:val="24"/>
          <w:szCs w:val="24"/>
        </w:rPr>
        <w:t>Counsel</w:t>
      </w:r>
      <w:r w:rsidR="00DD2073" w:rsidRPr="00497DCC">
        <w:rPr>
          <w:sz w:val="24"/>
          <w:szCs w:val="24"/>
        </w:rPr>
        <w:t xml:space="preserve"> did not. </w:t>
      </w:r>
      <w:r>
        <w:rPr>
          <w:sz w:val="24"/>
          <w:szCs w:val="24"/>
        </w:rPr>
        <w:t xml:space="preserve">Counsel’s submission are the equivalent of 50 pages and only by violating these protocols was </w:t>
      </w:r>
      <w:r w:rsidR="002F636F">
        <w:rPr>
          <w:sz w:val="24"/>
          <w:szCs w:val="24"/>
        </w:rPr>
        <w:t>Counsel</w:t>
      </w:r>
      <w:r>
        <w:rPr>
          <w:sz w:val="24"/>
          <w:szCs w:val="24"/>
        </w:rPr>
        <w:t xml:space="preserve"> able to get it reduced to 30 pages.</w:t>
      </w:r>
      <w:r w:rsidR="00DD2073" w:rsidRPr="00497DCC">
        <w:rPr>
          <w:sz w:val="24"/>
          <w:szCs w:val="24"/>
        </w:rPr>
        <w:t xml:space="preserve"> </w:t>
      </w:r>
    </w:p>
    <w:p w:rsidR="00551918" w:rsidRPr="00551918" w:rsidRDefault="00551918" w:rsidP="00883BF1">
      <w:pPr>
        <w:pStyle w:val="ListParagraph"/>
        <w:spacing w:line="240" w:lineRule="auto"/>
        <w:rPr>
          <w:sz w:val="24"/>
          <w:szCs w:val="24"/>
        </w:rPr>
      </w:pPr>
    </w:p>
    <w:p w:rsidR="00DD2073" w:rsidRPr="00CB0151" w:rsidRDefault="00DD2073" w:rsidP="00C94ECF">
      <w:pPr>
        <w:pStyle w:val="ListParagraph"/>
        <w:numPr>
          <w:ilvl w:val="0"/>
          <w:numId w:val="2"/>
        </w:numPr>
        <w:ind w:hanging="720"/>
        <w:rPr>
          <w:sz w:val="24"/>
          <w:szCs w:val="24"/>
        </w:rPr>
      </w:pPr>
      <w:r w:rsidRPr="00CB0151">
        <w:rPr>
          <w:rFonts w:cstheme="minorHAnsi"/>
          <w:sz w:val="24"/>
          <w:szCs w:val="24"/>
        </w:rPr>
        <w:t xml:space="preserve">All through the rest of this reply the </w:t>
      </w:r>
      <w:r w:rsidR="00902709">
        <w:rPr>
          <w:rFonts w:cstheme="minorHAnsi"/>
          <w:sz w:val="24"/>
          <w:szCs w:val="24"/>
        </w:rPr>
        <w:t>Applicant</w:t>
      </w:r>
      <w:r w:rsidRPr="00CB0151">
        <w:rPr>
          <w:rFonts w:cstheme="minorHAnsi"/>
          <w:sz w:val="24"/>
          <w:szCs w:val="24"/>
        </w:rPr>
        <w:t xml:space="preserve"> will refer to the manipulation of facts and truth by Counsel for the </w:t>
      </w:r>
      <w:r>
        <w:rPr>
          <w:rFonts w:cstheme="minorHAnsi"/>
          <w:sz w:val="24"/>
          <w:szCs w:val="24"/>
        </w:rPr>
        <w:t>Respondent</w:t>
      </w:r>
      <w:r w:rsidR="0067390E">
        <w:rPr>
          <w:rFonts w:cstheme="minorHAnsi"/>
          <w:sz w:val="24"/>
          <w:szCs w:val="24"/>
        </w:rPr>
        <w:t xml:space="preserve"> in a vain attempt to defend this application. The </w:t>
      </w:r>
      <w:r w:rsidR="00883BF1">
        <w:rPr>
          <w:rFonts w:cstheme="minorHAnsi"/>
          <w:sz w:val="24"/>
          <w:szCs w:val="24"/>
        </w:rPr>
        <w:t>Respondent</w:t>
      </w:r>
      <w:r w:rsidR="0067390E">
        <w:rPr>
          <w:rFonts w:cstheme="minorHAnsi"/>
          <w:sz w:val="24"/>
          <w:szCs w:val="24"/>
        </w:rPr>
        <w:t xml:space="preserve"> has provided no documentary evidence to support their defense for there is </w:t>
      </w:r>
      <w:proofErr w:type="gramStart"/>
      <w:r w:rsidR="0067390E">
        <w:rPr>
          <w:rFonts w:cstheme="minorHAnsi"/>
          <w:sz w:val="24"/>
          <w:szCs w:val="24"/>
        </w:rPr>
        <w:t>none</w:t>
      </w:r>
      <w:proofErr w:type="gramEnd"/>
      <w:r w:rsidR="0067390E">
        <w:rPr>
          <w:rFonts w:cstheme="minorHAnsi"/>
          <w:sz w:val="24"/>
          <w:szCs w:val="24"/>
        </w:rPr>
        <w:t xml:space="preserve">. </w:t>
      </w:r>
    </w:p>
    <w:p w:rsidR="00DD2073" w:rsidRPr="00497DCC" w:rsidRDefault="00DD2073" w:rsidP="00883BF1">
      <w:pPr>
        <w:pStyle w:val="ListParagraph"/>
        <w:spacing w:line="240" w:lineRule="auto"/>
        <w:rPr>
          <w:sz w:val="24"/>
          <w:szCs w:val="24"/>
        </w:rPr>
      </w:pPr>
    </w:p>
    <w:p w:rsidR="00DD2073" w:rsidRPr="00476C59" w:rsidRDefault="00883BF1" w:rsidP="00C94ECF">
      <w:pPr>
        <w:ind w:left="720" w:hanging="720"/>
        <w:rPr>
          <w:b/>
          <w:sz w:val="28"/>
          <w:szCs w:val="28"/>
        </w:rPr>
      </w:pPr>
      <w:r w:rsidRPr="00476C59">
        <w:rPr>
          <w:b/>
          <w:sz w:val="28"/>
          <w:szCs w:val="28"/>
        </w:rPr>
        <w:t>Factual R</w:t>
      </w:r>
      <w:r w:rsidR="00DD2073" w:rsidRPr="00476C59">
        <w:rPr>
          <w:b/>
          <w:sz w:val="28"/>
          <w:szCs w:val="28"/>
        </w:rPr>
        <w:t>eply</w:t>
      </w:r>
    </w:p>
    <w:p w:rsidR="00DD2073" w:rsidRDefault="00DD2073" w:rsidP="00C94ECF">
      <w:pPr>
        <w:pStyle w:val="ListParagraph"/>
        <w:numPr>
          <w:ilvl w:val="0"/>
          <w:numId w:val="2"/>
        </w:numPr>
        <w:ind w:hanging="720"/>
        <w:rPr>
          <w:sz w:val="24"/>
          <w:szCs w:val="24"/>
        </w:rPr>
      </w:pPr>
      <w:r>
        <w:rPr>
          <w:sz w:val="24"/>
          <w:szCs w:val="24"/>
        </w:rPr>
        <w:t xml:space="preserve">Under the first allegation the Respondent claims that because the </w:t>
      </w:r>
      <w:r w:rsidR="00902709">
        <w:rPr>
          <w:sz w:val="24"/>
          <w:szCs w:val="24"/>
        </w:rPr>
        <w:t>Applicant</w:t>
      </w:r>
      <w:r>
        <w:rPr>
          <w:sz w:val="24"/>
          <w:szCs w:val="24"/>
        </w:rPr>
        <w:t xml:space="preserve"> acknowledges that the nickname did not come to his attention until several months after he was terminated is proof that it had no bearing on discrimination of the </w:t>
      </w:r>
      <w:r w:rsidR="00902709">
        <w:rPr>
          <w:sz w:val="24"/>
          <w:szCs w:val="24"/>
        </w:rPr>
        <w:t>Applicant</w:t>
      </w:r>
      <w:r>
        <w:rPr>
          <w:sz w:val="24"/>
          <w:szCs w:val="24"/>
        </w:rPr>
        <w:t xml:space="preserve">’s protected grounds. </w:t>
      </w:r>
    </w:p>
    <w:p w:rsidR="00DD2073" w:rsidRDefault="00DD2073" w:rsidP="00883BF1">
      <w:pPr>
        <w:pStyle w:val="ListParagraph"/>
        <w:spacing w:line="240" w:lineRule="auto"/>
        <w:rPr>
          <w:sz w:val="24"/>
          <w:szCs w:val="24"/>
        </w:rPr>
      </w:pPr>
    </w:p>
    <w:p w:rsidR="00DD2073" w:rsidRDefault="00DD2073" w:rsidP="00C94ECF">
      <w:pPr>
        <w:pStyle w:val="ListParagraph"/>
        <w:numPr>
          <w:ilvl w:val="0"/>
          <w:numId w:val="2"/>
        </w:numPr>
        <w:ind w:hanging="720"/>
        <w:rPr>
          <w:sz w:val="24"/>
          <w:szCs w:val="24"/>
        </w:rPr>
      </w:pPr>
      <w:r>
        <w:rPr>
          <w:sz w:val="24"/>
          <w:szCs w:val="24"/>
        </w:rPr>
        <w:t xml:space="preserve">The evidence revealed has been clear that the nickname was racial and was derogatory. The evidence revealed that it was used in reference to the </w:t>
      </w:r>
      <w:r w:rsidR="00902709">
        <w:rPr>
          <w:sz w:val="24"/>
          <w:szCs w:val="24"/>
        </w:rPr>
        <w:t>Applicant</w:t>
      </w:r>
      <w:r>
        <w:rPr>
          <w:sz w:val="24"/>
          <w:szCs w:val="24"/>
        </w:rPr>
        <w:t xml:space="preserve"> and always behind his back.</w:t>
      </w:r>
      <w:r>
        <w:rPr>
          <w:rStyle w:val="FootnoteReference"/>
          <w:sz w:val="24"/>
          <w:szCs w:val="24"/>
        </w:rPr>
        <w:footnoteReference w:id="1"/>
      </w:r>
    </w:p>
    <w:p w:rsidR="00DD2073" w:rsidRPr="00497DCC" w:rsidRDefault="00DD2073" w:rsidP="00883BF1">
      <w:pPr>
        <w:pStyle w:val="ListParagraph"/>
        <w:spacing w:line="240" w:lineRule="auto"/>
        <w:rPr>
          <w:sz w:val="24"/>
          <w:szCs w:val="24"/>
        </w:rPr>
      </w:pPr>
    </w:p>
    <w:p w:rsidR="00DD2073" w:rsidRDefault="00DD2073" w:rsidP="00C94ECF">
      <w:pPr>
        <w:pStyle w:val="ListParagraph"/>
        <w:numPr>
          <w:ilvl w:val="0"/>
          <w:numId w:val="2"/>
        </w:numPr>
        <w:ind w:hanging="720"/>
        <w:rPr>
          <w:sz w:val="24"/>
          <w:szCs w:val="24"/>
        </w:rPr>
      </w:pPr>
      <w:r>
        <w:rPr>
          <w:sz w:val="24"/>
          <w:szCs w:val="24"/>
        </w:rPr>
        <w:t>That nic</w:t>
      </w:r>
      <w:r w:rsidR="00791ABC">
        <w:rPr>
          <w:sz w:val="24"/>
          <w:szCs w:val="24"/>
        </w:rPr>
        <w:t xml:space="preserve">kname arose sometime after the </w:t>
      </w:r>
      <w:r w:rsidR="00902709">
        <w:rPr>
          <w:sz w:val="24"/>
          <w:szCs w:val="24"/>
        </w:rPr>
        <w:t>Applicant</w:t>
      </w:r>
      <w:r>
        <w:rPr>
          <w:sz w:val="24"/>
          <w:szCs w:val="24"/>
        </w:rPr>
        <w:t>’s ride</w:t>
      </w:r>
      <w:r w:rsidR="00791ABC">
        <w:rPr>
          <w:sz w:val="24"/>
          <w:szCs w:val="24"/>
        </w:rPr>
        <w:t>-</w:t>
      </w:r>
      <w:r>
        <w:rPr>
          <w:sz w:val="24"/>
          <w:szCs w:val="24"/>
        </w:rPr>
        <w:t xml:space="preserve">alongs with Gravelle and Pollock and that racially </w:t>
      </w:r>
      <w:r w:rsidR="00791ABC">
        <w:rPr>
          <w:sz w:val="24"/>
          <w:szCs w:val="24"/>
        </w:rPr>
        <w:t>biased</w:t>
      </w:r>
      <w:r w:rsidR="001D3F5E">
        <w:rPr>
          <w:sz w:val="24"/>
          <w:szCs w:val="24"/>
        </w:rPr>
        <w:t xml:space="preserve"> email from Brad Rathbun, </w:t>
      </w:r>
      <w:r>
        <w:rPr>
          <w:sz w:val="24"/>
          <w:szCs w:val="24"/>
        </w:rPr>
        <w:t>which was sent out after th</w:t>
      </w:r>
      <w:r w:rsidR="003B06EA">
        <w:rPr>
          <w:sz w:val="24"/>
          <w:szCs w:val="24"/>
        </w:rPr>
        <w:t>e</w:t>
      </w:r>
      <w:r>
        <w:rPr>
          <w:sz w:val="24"/>
          <w:szCs w:val="24"/>
        </w:rPr>
        <w:t xml:space="preserve"> first ride along and before the second ride along.</w:t>
      </w:r>
      <w:r w:rsidR="00791ABC">
        <w:rPr>
          <w:rStyle w:val="FootnoteReference"/>
          <w:sz w:val="24"/>
          <w:szCs w:val="24"/>
        </w:rPr>
        <w:footnoteReference w:id="2"/>
      </w:r>
      <w:r>
        <w:rPr>
          <w:sz w:val="24"/>
          <w:szCs w:val="24"/>
        </w:rPr>
        <w:t xml:space="preserve"> The fact that it was in use and addressed in a shift briefing by Flindall to his platoon before the </w:t>
      </w:r>
      <w:r w:rsidR="00902709">
        <w:rPr>
          <w:sz w:val="24"/>
          <w:szCs w:val="24"/>
        </w:rPr>
        <w:t>Applicant</w:t>
      </w:r>
      <w:r>
        <w:rPr>
          <w:sz w:val="24"/>
          <w:szCs w:val="24"/>
        </w:rPr>
        <w:t xml:space="preserve"> started working at the detachment is significant.</w:t>
      </w:r>
      <w:r w:rsidR="00791ABC">
        <w:rPr>
          <w:rStyle w:val="FootnoteReference"/>
          <w:sz w:val="24"/>
          <w:szCs w:val="24"/>
        </w:rPr>
        <w:footnoteReference w:id="3"/>
      </w:r>
      <w:r>
        <w:rPr>
          <w:sz w:val="24"/>
          <w:szCs w:val="24"/>
        </w:rPr>
        <w:t xml:space="preserve"> It was no longer the sole use of one or two persons</w:t>
      </w:r>
      <w:r w:rsidR="001D3F5E">
        <w:rPr>
          <w:sz w:val="24"/>
          <w:szCs w:val="24"/>
        </w:rPr>
        <w:t>,</w:t>
      </w:r>
      <w:r w:rsidR="00883BF1">
        <w:rPr>
          <w:sz w:val="24"/>
          <w:szCs w:val="24"/>
        </w:rPr>
        <w:t xml:space="preserve"> but </w:t>
      </w:r>
      <w:r>
        <w:rPr>
          <w:sz w:val="24"/>
          <w:szCs w:val="24"/>
        </w:rPr>
        <w:t xml:space="preserve">enough to be addressed by Flindall. </w:t>
      </w:r>
    </w:p>
    <w:p w:rsidR="00DD2073" w:rsidRPr="00B00DFC" w:rsidRDefault="00DD2073" w:rsidP="00883BF1">
      <w:pPr>
        <w:pStyle w:val="ListParagraph"/>
        <w:spacing w:line="240" w:lineRule="auto"/>
        <w:rPr>
          <w:sz w:val="24"/>
          <w:szCs w:val="24"/>
        </w:rPr>
      </w:pPr>
    </w:p>
    <w:p w:rsidR="00DD2073" w:rsidRDefault="00DD2073" w:rsidP="00BA75F3">
      <w:pPr>
        <w:pStyle w:val="ListParagraph"/>
        <w:numPr>
          <w:ilvl w:val="0"/>
          <w:numId w:val="2"/>
        </w:numPr>
        <w:ind w:hanging="720"/>
        <w:rPr>
          <w:sz w:val="24"/>
          <w:szCs w:val="24"/>
        </w:rPr>
      </w:pPr>
      <w:r w:rsidRPr="00B00DFC">
        <w:rPr>
          <w:sz w:val="24"/>
          <w:szCs w:val="24"/>
        </w:rPr>
        <w:t xml:space="preserve">It is immaterial when the </w:t>
      </w:r>
      <w:r w:rsidR="00902709">
        <w:rPr>
          <w:sz w:val="24"/>
          <w:szCs w:val="24"/>
        </w:rPr>
        <w:t>Applicant</w:t>
      </w:r>
      <w:r w:rsidRPr="00B00DFC">
        <w:rPr>
          <w:sz w:val="24"/>
          <w:szCs w:val="24"/>
        </w:rPr>
        <w:t xml:space="preserve"> became aware of the nickname. What is materially relevant is </w:t>
      </w:r>
      <w:r w:rsidR="00BA75F3">
        <w:rPr>
          <w:sz w:val="24"/>
          <w:szCs w:val="24"/>
        </w:rPr>
        <w:t>that the Applicant</w:t>
      </w:r>
      <w:r w:rsidRPr="00B00DFC">
        <w:rPr>
          <w:sz w:val="24"/>
          <w:szCs w:val="24"/>
        </w:rPr>
        <w:t xml:space="preserve"> </w:t>
      </w:r>
      <w:r w:rsidR="003B06EA">
        <w:rPr>
          <w:sz w:val="24"/>
          <w:szCs w:val="24"/>
        </w:rPr>
        <w:t xml:space="preserve">was </w:t>
      </w:r>
      <w:r w:rsidRPr="00B00DFC">
        <w:rPr>
          <w:sz w:val="24"/>
          <w:szCs w:val="24"/>
        </w:rPr>
        <w:t>being referenced with such a nickname</w:t>
      </w:r>
      <w:r w:rsidR="00883BF1">
        <w:rPr>
          <w:sz w:val="24"/>
          <w:szCs w:val="24"/>
        </w:rPr>
        <w:t xml:space="preserve"> and the significance of such a </w:t>
      </w:r>
      <w:r w:rsidRPr="00B00DFC">
        <w:rPr>
          <w:sz w:val="24"/>
          <w:szCs w:val="24"/>
        </w:rPr>
        <w:t xml:space="preserve">nickname to the </w:t>
      </w:r>
      <w:r w:rsidR="00902709">
        <w:rPr>
          <w:sz w:val="24"/>
          <w:szCs w:val="24"/>
        </w:rPr>
        <w:t>Applicant</w:t>
      </w:r>
      <w:r w:rsidR="00BA75F3">
        <w:rPr>
          <w:sz w:val="24"/>
          <w:szCs w:val="24"/>
        </w:rPr>
        <w:t>. I</w:t>
      </w:r>
      <w:r w:rsidRPr="00B00DFC">
        <w:rPr>
          <w:sz w:val="24"/>
          <w:szCs w:val="24"/>
        </w:rPr>
        <w:t>t was a racially derogatory nickname and had everything to with his race, ancestry, place of origin and ethnic origin.</w:t>
      </w:r>
      <w:r>
        <w:rPr>
          <w:rStyle w:val="FootnoteReference"/>
          <w:sz w:val="24"/>
          <w:szCs w:val="24"/>
        </w:rPr>
        <w:footnoteReference w:id="4"/>
      </w:r>
      <w:r w:rsidRPr="00B00DFC">
        <w:rPr>
          <w:sz w:val="24"/>
          <w:szCs w:val="24"/>
        </w:rPr>
        <w:t xml:space="preserve"> </w:t>
      </w:r>
    </w:p>
    <w:p w:rsidR="00DD2073" w:rsidRDefault="00DD2073" w:rsidP="00C94ECF">
      <w:pPr>
        <w:pStyle w:val="ListParagraph"/>
        <w:numPr>
          <w:ilvl w:val="0"/>
          <w:numId w:val="2"/>
        </w:numPr>
        <w:ind w:hanging="720"/>
        <w:rPr>
          <w:sz w:val="24"/>
          <w:szCs w:val="24"/>
        </w:rPr>
      </w:pPr>
      <w:r w:rsidRPr="00547DE7">
        <w:rPr>
          <w:sz w:val="24"/>
          <w:szCs w:val="24"/>
        </w:rPr>
        <w:lastRenderedPageBreak/>
        <w:t xml:space="preserve">Any reasonable person would wonder that if such a nickname was not derogatory or offensive then why it </w:t>
      </w:r>
      <w:r>
        <w:rPr>
          <w:sz w:val="24"/>
          <w:szCs w:val="24"/>
        </w:rPr>
        <w:t xml:space="preserve">was </w:t>
      </w:r>
      <w:r w:rsidRPr="00547DE7">
        <w:rPr>
          <w:sz w:val="24"/>
          <w:szCs w:val="24"/>
        </w:rPr>
        <w:t xml:space="preserve">only used in the absence of the </w:t>
      </w:r>
      <w:r w:rsidR="00902709">
        <w:rPr>
          <w:sz w:val="24"/>
          <w:szCs w:val="24"/>
        </w:rPr>
        <w:t>Applicant</w:t>
      </w:r>
      <w:r w:rsidRPr="00547DE7">
        <w:rPr>
          <w:sz w:val="24"/>
          <w:szCs w:val="24"/>
        </w:rPr>
        <w:t>’s hearing and presence</w:t>
      </w:r>
      <w:r w:rsidR="0067390E">
        <w:rPr>
          <w:sz w:val="24"/>
          <w:szCs w:val="24"/>
        </w:rPr>
        <w:t>?</w:t>
      </w:r>
      <w:r w:rsidRPr="00547DE7">
        <w:rPr>
          <w:sz w:val="24"/>
          <w:szCs w:val="24"/>
        </w:rPr>
        <w:t xml:space="preserve"> </w:t>
      </w:r>
    </w:p>
    <w:p w:rsidR="00DD2073" w:rsidRPr="00547DE7" w:rsidRDefault="00DD2073" w:rsidP="00BA75F3">
      <w:pPr>
        <w:pStyle w:val="ListParagraph"/>
        <w:spacing w:line="240" w:lineRule="auto"/>
        <w:rPr>
          <w:sz w:val="24"/>
          <w:szCs w:val="24"/>
        </w:rPr>
      </w:pPr>
    </w:p>
    <w:p w:rsidR="00DD2073" w:rsidRDefault="00DD2073" w:rsidP="00BA75F3">
      <w:pPr>
        <w:pStyle w:val="ListParagraph"/>
        <w:numPr>
          <w:ilvl w:val="0"/>
          <w:numId w:val="2"/>
        </w:numPr>
        <w:ind w:hanging="720"/>
        <w:rPr>
          <w:rFonts w:cstheme="minorHAnsi"/>
          <w:sz w:val="24"/>
          <w:szCs w:val="24"/>
        </w:rPr>
      </w:pPr>
      <w:r>
        <w:rPr>
          <w:rFonts w:cstheme="minorHAnsi"/>
          <w:sz w:val="24"/>
          <w:szCs w:val="24"/>
        </w:rPr>
        <w:t>Item 33 of the response talks about ‘Tim Fish’, an outside police officer employed by Peterborough Lakefield Police Service as opposed to Peterborough OPP.</w:t>
      </w:r>
      <w:r>
        <w:rPr>
          <w:rStyle w:val="FootnoteReference"/>
          <w:rFonts w:cstheme="minorHAnsi"/>
          <w:sz w:val="24"/>
          <w:szCs w:val="24"/>
        </w:rPr>
        <w:footnoteReference w:id="5"/>
      </w:r>
      <w:r>
        <w:rPr>
          <w:rFonts w:cstheme="minorHAnsi"/>
          <w:sz w:val="24"/>
          <w:szCs w:val="24"/>
        </w:rPr>
        <w:t xml:space="preserve"> Accordingly, Tim Fish is the one who categorized Jack as ‘the complainer’. The Respondent goes on the say that the </w:t>
      </w:r>
      <w:r w:rsidR="00902709">
        <w:rPr>
          <w:rFonts w:cstheme="minorHAnsi"/>
          <w:sz w:val="24"/>
          <w:szCs w:val="24"/>
        </w:rPr>
        <w:t>Applicant</w:t>
      </w:r>
      <w:r>
        <w:rPr>
          <w:rFonts w:cstheme="minorHAnsi"/>
          <w:sz w:val="24"/>
          <w:szCs w:val="24"/>
        </w:rPr>
        <w:t xml:space="preserve"> did not call Tim Fish or anyone else in the locker room (where that </w:t>
      </w:r>
      <w:r w:rsidR="00BA75F3">
        <w:rPr>
          <w:rFonts w:cstheme="minorHAnsi"/>
          <w:sz w:val="24"/>
          <w:szCs w:val="24"/>
        </w:rPr>
        <w:t xml:space="preserve">audio </w:t>
      </w:r>
      <w:r>
        <w:rPr>
          <w:rFonts w:cstheme="minorHAnsi"/>
          <w:sz w:val="24"/>
          <w:szCs w:val="24"/>
        </w:rPr>
        <w:t xml:space="preserve">recording took place) to the stand. However, the </w:t>
      </w:r>
      <w:r w:rsidR="00902709">
        <w:rPr>
          <w:rFonts w:cstheme="minorHAnsi"/>
          <w:sz w:val="24"/>
          <w:szCs w:val="24"/>
        </w:rPr>
        <w:t>Applicant</w:t>
      </w:r>
      <w:r>
        <w:rPr>
          <w:rFonts w:cstheme="minorHAnsi"/>
          <w:sz w:val="24"/>
          <w:szCs w:val="24"/>
        </w:rPr>
        <w:t xml:space="preserve"> points out that he sought out further information from the Respondent, after he was disclosed that audio recording on a CD</w:t>
      </w:r>
      <w:r>
        <w:rPr>
          <w:rStyle w:val="FootnoteReference"/>
          <w:rFonts w:cstheme="minorHAnsi"/>
          <w:sz w:val="24"/>
          <w:szCs w:val="24"/>
        </w:rPr>
        <w:footnoteReference w:id="6"/>
      </w:r>
      <w:r>
        <w:rPr>
          <w:rFonts w:cstheme="minorHAnsi"/>
          <w:sz w:val="24"/>
          <w:szCs w:val="24"/>
        </w:rPr>
        <w:t xml:space="preserve"> twice! The </w:t>
      </w:r>
      <w:r w:rsidR="00902709">
        <w:rPr>
          <w:rFonts w:cstheme="minorHAnsi"/>
          <w:sz w:val="24"/>
          <w:szCs w:val="24"/>
        </w:rPr>
        <w:t>Applicant</w:t>
      </w:r>
      <w:r>
        <w:rPr>
          <w:rFonts w:cstheme="minorHAnsi"/>
          <w:sz w:val="24"/>
          <w:szCs w:val="24"/>
        </w:rPr>
        <w:t xml:space="preserve"> specifically requested to know when that recording was made.</w:t>
      </w:r>
      <w:r>
        <w:rPr>
          <w:rStyle w:val="FootnoteReference"/>
          <w:rFonts w:cstheme="minorHAnsi"/>
          <w:sz w:val="24"/>
          <w:szCs w:val="24"/>
        </w:rPr>
        <w:footnoteReference w:id="7"/>
      </w:r>
      <w:r w:rsidR="00BA75F3">
        <w:rPr>
          <w:rFonts w:cstheme="minorHAnsi"/>
          <w:sz w:val="24"/>
          <w:szCs w:val="24"/>
        </w:rPr>
        <w:t xml:space="preserve"> </w:t>
      </w:r>
      <w:r>
        <w:rPr>
          <w:rFonts w:cstheme="minorHAnsi"/>
          <w:sz w:val="24"/>
          <w:szCs w:val="24"/>
        </w:rPr>
        <w:t>Counsel for the Respondent, Mr. Manuel undertook to furnish this information</w:t>
      </w:r>
      <w:r w:rsidR="00BA75F3">
        <w:rPr>
          <w:rFonts w:cstheme="minorHAnsi"/>
          <w:sz w:val="24"/>
          <w:szCs w:val="24"/>
        </w:rPr>
        <w:t>,</w:t>
      </w:r>
      <w:r>
        <w:rPr>
          <w:rFonts w:cstheme="minorHAnsi"/>
          <w:sz w:val="24"/>
          <w:szCs w:val="24"/>
        </w:rPr>
        <w:t xml:space="preserve"> but never did.</w:t>
      </w:r>
      <w:r w:rsidRPr="00DE0789">
        <w:rPr>
          <w:rStyle w:val="FootnoteReference"/>
          <w:rFonts w:cstheme="minorHAnsi"/>
          <w:sz w:val="24"/>
          <w:szCs w:val="24"/>
        </w:rPr>
        <w:t xml:space="preserve"> </w:t>
      </w:r>
      <w:r>
        <w:rPr>
          <w:rStyle w:val="FootnoteReference"/>
          <w:rFonts w:cstheme="minorHAnsi"/>
          <w:sz w:val="24"/>
          <w:szCs w:val="24"/>
        </w:rPr>
        <w:footnoteReference w:id="8"/>
      </w:r>
      <w:r>
        <w:rPr>
          <w:rStyle w:val="FootnoteReference"/>
          <w:rFonts w:cstheme="minorHAnsi"/>
          <w:sz w:val="24"/>
          <w:szCs w:val="24"/>
        </w:rPr>
        <w:t xml:space="preserve"> </w:t>
      </w:r>
      <w:r>
        <w:rPr>
          <w:rFonts w:cstheme="minorHAnsi"/>
          <w:sz w:val="24"/>
          <w:szCs w:val="24"/>
        </w:rPr>
        <w:t>After the second request Counsel for the Respondent</w:t>
      </w:r>
      <w:r w:rsidR="003B06EA">
        <w:rPr>
          <w:rFonts w:cstheme="minorHAnsi"/>
          <w:sz w:val="24"/>
          <w:szCs w:val="24"/>
        </w:rPr>
        <w:t>,</w:t>
      </w:r>
      <w:r>
        <w:rPr>
          <w:rFonts w:cstheme="minorHAnsi"/>
          <w:sz w:val="24"/>
          <w:szCs w:val="24"/>
        </w:rPr>
        <w:t xml:space="preserve"> Mrs. Singh also failed to provide the requested information about t</w:t>
      </w:r>
      <w:r w:rsidR="00BA75F3">
        <w:rPr>
          <w:rFonts w:cstheme="minorHAnsi"/>
          <w:sz w:val="24"/>
          <w:szCs w:val="24"/>
        </w:rPr>
        <w:t xml:space="preserve">he recording. To date we don’t </w:t>
      </w:r>
      <w:r>
        <w:rPr>
          <w:rFonts w:cstheme="minorHAnsi"/>
          <w:sz w:val="24"/>
          <w:szCs w:val="24"/>
        </w:rPr>
        <w:t>know when this audio recording was made.</w:t>
      </w:r>
    </w:p>
    <w:p w:rsidR="00DD2073" w:rsidRDefault="00DD2073" w:rsidP="00BA75F3">
      <w:pPr>
        <w:pStyle w:val="ListParagraph"/>
        <w:spacing w:line="240" w:lineRule="auto"/>
        <w:rPr>
          <w:rFonts w:cstheme="minorHAnsi"/>
          <w:sz w:val="24"/>
          <w:szCs w:val="24"/>
        </w:rPr>
      </w:pPr>
    </w:p>
    <w:p w:rsidR="00DD2073" w:rsidRDefault="00DD2073" w:rsidP="00C94ECF">
      <w:pPr>
        <w:pStyle w:val="ListParagraph"/>
        <w:numPr>
          <w:ilvl w:val="0"/>
          <w:numId w:val="2"/>
        </w:numPr>
        <w:ind w:hanging="720"/>
        <w:rPr>
          <w:rFonts w:cstheme="minorHAnsi"/>
          <w:sz w:val="24"/>
          <w:szCs w:val="24"/>
        </w:rPr>
      </w:pPr>
      <w:r>
        <w:rPr>
          <w:rFonts w:cstheme="minorHAnsi"/>
          <w:sz w:val="24"/>
          <w:szCs w:val="24"/>
        </w:rPr>
        <w:t xml:space="preserve">The Respondent refused to provide any answers to these questions and hence the </w:t>
      </w:r>
      <w:r w:rsidR="00902709">
        <w:rPr>
          <w:rFonts w:cstheme="minorHAnsi"/>
          <w:sz w:val="24"/>
          <w:szCs w:val="24"/>
        </w:rPr>
        <w:t>Applicant</w:t>
      </w:r>
      <w:r>
        <w:rPr>
          <w:rFonts w:cstheme="minorHAnsi"/>
          <w:sz w:val="24"/>
          <w:szCs w:val="24"/>
        </w:rPr>
        <w:t xml:space="preserve"> was left to get the answers from Gravelle and from Duignan when they took the stand. It was the </w:t>
      </w:r>
      <w:r w:rsidR="00902709">
        <w:rPr>
          <w:rFonts w:cstheme="minorHAnsi"/>
          <w:sz w:val="24"/>
          <w:szCs w:val="24"/>
        </w:rPr>
        <w:t>Applicant</w:t>
      </w:r>
      <w:r>
        <w:rPr>
          <w:rFonts w:cstheme="minorHAnsi"/>
          <w:sz w:val="24"/>
          <w:szCs w:val="24"/>
        </w:rPr>
        <w:t xml:space="preserve"> and his representative that recognized the voice of Respondent witness Gravelle. It was only on the day of Gravelle’s testimony and during his cross that the </w:t>
      </w:r>
      <w:r w:rsidR="00902709">
        <w:rPr>
          <w:rFonts w:cstheme="minorHAnsi"/>
          <w:sz w:val="24"/>
          <w:szCs w:val="24"/>
        </w:rPr>
        <w:t>Applicant</w:t>
      </w:r>
      <w:r>
        <w:rPr>
          <w:rFonts w:cstheme="minorHAnsi"/>
          <w:sz w:val="24"/>
          <w:szCs w:val="24"/>
        </w:rPr>
        <w:t xml:space="preserve"> learned of the identity of Tim Fish.</w:t>
      </w:r>
      <w:r w:rsidRPr="0059230E">
        <w:rPr>
          <w:rStyle w:val="FootnoteReference"/>
          <w:rFonts w:cstheme="minorHAnsi"/>
          <w:sz w:val="24"/>
          <w:szCs w:val="24"/>
        </w:rPr>
        <w:t xml:space="preserve"> </w:t>
      </w:r>
      <w:r>
        <w:rPr>
          <w:rStyle w:val="FootnoteReference"/>
          <w:rFonts w:cstheme="minorHAnsi"/>
          <w:sz w:val="24"/>
          <w:szCs w:val="24"/>
        </w:rPr>
        <w:footnoteReference w:id="9"/>
      </w:r>
      <w:r>
        <w:rPr>
          <w:rFonts w:cstheme="minorHAnsi"/>
          <w:sz w:val="24"/>
          <w:szCs w:val="24"/>
        </w:rPr>
        <w:t xml:space="preserve"> </w:t>
      </w:r>
    </w:p>
    <w:p w:rsidR="00DD2073" w:rsidRPr="00EA64D7" w:rsidRDefault="00DD2073" w:rsidP="00C94ECF">
      <w:pPr>
        <w:pStyle w:val="ListParagraph"/>
        <w:rPr>
          <w:rFonts w:cstheme="minorHAnsi"/>
          <w:sz w:val="24"/>
          <w:szCs w:val="24"/>
        </w:rPr>
      </w:pPr>
    </w:p>
    <w:p w:rsidR="00DD2073" w:rsidRDefault="00DD2073" w:rsidP="00C94ECF">
      <w:pPr>
        <w:pStyle w:val="ListParagraph"/>
        <w:numPr>
          <w:ilvl w:val="0"/>
          <w:numId w:val="2"/>
        </w:numPr>
        <w:ind w:hanging="720"/>
        <w:rPr>
          <w:rFonts w:cstheme="minorHAnsi"/>
          <w:sz w:val="24"/>
          <w:szCs w:val="24"/>
        </w:rPr>
      </w:pPr>
      <w:r>
        <w:rPr>
          <w:rFonts w:cstheme="minorHAnsi"/>
          <w:sz w:val="24"/>
          <w:szCs w:val="24"/>
        </w:rPr>
        <w:t xml:space="preserve">Counsel for the Respondent, knows this to be true for the transcript clearly reveals the </w:t>
      </w:r>
      <w:r w:rsidR="00902709">
        <w:rPr>
          <w:rFonts w:cstheme="minorHAnsi"/>
          <w:sz w:val="24"/>
          <w:szCs w:val="24"/>
        </w:rPr>
        <w:t>Applicant</w:t>
      </w:r>
      <w:r>
        <w:rPr>
          <w:rFonts w:cstheme="minorHAnsi"/>
          <w:sz w:val="24"/>
          <w:szCs w:val="24"/>
        </w:rPr>
        <w:t xml:space="preserve">’s representative suggesting to Gravelle that it was Gravelle’s voice </w:t>
      </w:r>
      <w:r w:rsidR="0067390E">
        <w:rPr>
          <w:rFonts w:cstheme="minorHAnsi"/>
          <w:sz w:val="24"/>
          <w:szCs w:val="24"/>
        </w:rPr>
        <w:t>uttering</w:t>
      </w:r>
      <w:r>
        <w:rPr>
          <w:rFonts w:cstheme="minorHAnsi"/>
          <w:sz w:val="24"/>
          <w:szCs w:val="24"/>
        </w:rPr>
        <w:t>, ‘the complainer’</w:t>
      </w:r>
      <w:r w:rsidR="003B06EA">
        <w:rPr>
          <w:rFonts w:cstheme="minorHAnsi"/>
          <w:sz w:val="24"/>
          <w:szCs w:val="24"/>
        </w:rPr>
        <w:t xml:space="preserve"> and</w:t>
      </w:r>
      <w:r>
        <w:rPr>
          <w:rFonts w:cstheme="minorHAnsi"/>
          <w:sz w:val="24"/>
          <w:szCs w:val="24"/>
        </w:rPr>
        <w:t xml:space="preserve"> that Gravelle corrected him by revealing the name of Tim Fish.</w:t>
      </w:r>
      <w:r>
        <w:rPr>
          <w:rStyle w:val="FootnoteReference"/>
          <w:rFonts w:cstheme="minorHAnsi"/>
          <w:sz w:val="24"/>
          <w:szCs w:val="24"/>
        </w:rPr>
        <w:footnoteReference w:id="10"/>
      </w:r>
      <w:r>
        <w:rPr>
          <w:rFonts w:cstheme="minorHAnsi"/>
          <w:sz w:val="24"/>
          <w:szCs w:val="24"/>
        </w:rPr>
        <w:t xml:space="preserve"> </w:t>
      </w:r>
    </w:p>
    <w:p w:rsidR="00DD2073" w:rsidRPr="00EA64D7" w:rsidRDefault="00DD2073" w:rsidP="00C94ECF">
      <w:pPr>
        <w:pStyle w:val="ListParagraph"/>
        <w:rPr>
          <w:rFonts w:cstheme="minorHAnsi"/>
          <w:sz w:val="24"/>
          <w:szCs w:val="24"/>
        </w:rPr>
      </w:pPr>
    </w:p>
    <w:p w:rsidR="00DD2073" w:rsidRDefault="00DD2073" w:rsidP="00C94ECF">
      <w:pPr>
        <w:pStyle w:val="ListParagraph"/>
        <w:numPr>
          <w:ilvl w:val="0"/>
          <w:numId w:val="2"/>
        </w:numPr>
        <w:ind w:hanging="720"/>
        <w:rPr>
          <w:rFonts w:cstheme="minorHAnsi"/>
          <w:sz w:val="24"/>
          <w:szCs w:val="24"/>
        </w:rPr>
      </w:pPr>
      <w:r>
        <w:rPr>
          <w:rFonts w:cstheme="minorHAnsi"/>
          <w:sz w:val="24"/>
          <w:szCs w:val="24"/>
        </w:rPr>
        <w:t xml:space="preserve">Hence, </w:t>
      </w:r>
      <w:r w:rsidR="0067390E">
        <w:rPr>
          <w:rFonts w:cstheme="minorHAnsi"/>
          <w:sz w:val="24"/>
          <w:szCs w:val="24"/>
        </w:rPr>
        <w:t>Coun</w:t>
      </w:r>
      <w:r>
        <w:rPr>
          <w:rFonts w:cstheme="minorHAnsi"/>
          <w:sz w:val="24"/>
          <w:szCs w:val="24"/>
        </w:rPr>
        <w:t xml:space="preserve">sel is </w:t>
      </w:r>
      <w:r w:rsidR="0067390E">
        <w:rPr>
          <w:rFonts w:cstheme="minorHAnsi"/>
          <w:sz w:val="24"/>
          <w:szCs w:val="24"/>
        </w:rPr>
        <w:t xml:space="preserve">manipulating or </w:t>
      </w:r>
      <w:r>
        <w:rPr>
          <w:rFonts w:cstheme="minorHAnsi"/>
          <w:sz w:val="24"/>
          <w:szCs w:val="24"/>
        </w:rPr>
        <w:t>attempting to mislead the Tribunal into believing otherwise</w:t>
      </w:r>
      <w:r w:rsidR="003B06EA">
        <w:rPr>
          <w:rFonts w:cstheme="minorHAnsi"/>
          <w:sz w:val="24"/>
          <w:szCs w:val="24"/>
        </w:rPr>
        <w:t xml:space="preserve"> by stating that the </w:t>
      </w:r>
      <w:r w:rsidR="00902709">
        <w:rPr>
          <w:rFonts w:cstheme="minorHAnsi"/>
          <w:sz w:val="24"/>
          <w:szCs w:val="24"/>
        </w:rPr>
        <w:t>Applicant</w:t>
      </w:r>
      <w:r w:rsidR="003B06EA">
        <w:rPr>
          <w:rFonts w:cstheme="minorHAnsi"/>
          <w:sz w:val="24"/>
          <w:szCs w:val="24"/>
        </w:rPr>
        <w:t xml:space="preserve"> chose not to call Tim Fish or anyone else to the stand regarding that recording.</w:t>
      </w:r>
    </w:p>
    <w:p w:rsidR="00DD2073" w:rsidRPr="007875BB" w:rsidRDefault="00DD2073" w:rsidP="00C94ECF">
      <w:pPr>
        <w:pStyle w:val="ListParagraph"/>
        <w:rPr>
          <w:rFonts w:cstheme="minorHAnsi"/>
          <w:sz w:val="24"/>
          <w:szCs w:val="24"/>
        </w:rPr>
      </w:pPr>
    </w:p>
    <w:p w:rsidR="0067390E" w:rsidRPr="00C94ECF" w:rsidRDefault="0067390E" w:rsidP="002F636F">
      <w:pPr>
        <w:pStyle w:val="ListParagraph"/>
        <w:numPr>
          <w:ilvl w:val="0"/>
          <w:numId w:val="2"/>
        </w:numPr>
        <w:ind w:hanging="720"/>
        <w:rPr>
          <w:rFonts w:cstheme="minorHAnsi"/>
          <w:sz w:val="24"/>
          <w:szCs w:val="24"/>
        </w:rPr>
      </w:pPr>
      <w:r>
        <w:rPr>
          <w:rFonts w:cstheme="minorHAnsi"/>
          <w:sz w:val="24"/>
          <w:szCs w:val="24"/>
        </w:rPr>
        <w:t xml:space="preserve">Contrary to what </w:t>
      </w:r>
      <w:r w:rsidR="002F636F">
        <w:rPr>
          <w:rFonts w:cstheme="minorHAnsi"/>
          <w:sz w:val="24"/>
          <w:szCs w:val="24"/>
        </w:rPr>
        <w:t>Counsel</w:t>
      </w:r>
      <w:r>
        <w:rPr>
          <w:rFonts w:cstheme="minorHAnsi"/>
          <w:sz w:val="24"/>
          <w:szCs w:val="24"/>
        </w:rPr>
        <w:t xml:space="preserve"> states in item 34, t</w:t>
      </w:r>
      <w:r w:rsidR="00DD2073" w:rsidRPr="007875BB">
        <w:rPr>
          <w:rFonts w:cstheme="minorHAnsi"/>
          <w:sz w:val="24"/>
          <w:szCs w:val="24"/>
        </w:rPr>
        <w:t xml:space="preserve">he unshaken testimony of the </w:t>
      </w:r>
      <w:r w:rsidR="00902709">
        <w:rPr>
          <w:rFonts w:cstheme="minorHAnsi"/>
          <w:sz w:val="24"/>
          <w:szCs w:val="24"/>
        </w:rPr>
        <w:t>Applicant</w:t>
      </w:r>
      <w:r w:rsidR="00DD2073" w:rsidRPr="007875BB">
        <w:rPr>
          <w:rFonts w:cstheme="minorHAnsi"/>
          <w:sz w:val="24"/>
          <w:szCs w:val="24"/>
        </w:rPr>
        <w:t xml:space="preserve">’s witness Greco </w:t>
      </w:r>
      <w:r>
        <w:rPr>
          <w:rFonts w:cstheme="minorHAnsi"/>
          <w:sz w:val="24"/>
          <w:szCs w:val="24"/>
        </w:rPr>
        <w:t xml:space="preserve">was that it was </w:t>
      </w:r>
      <w:r w:rsidR="00DD2073" w:rsidRPr="007875BB">
        <w:rPr>
          <w:rFonts w:cstheme="minorHAnsi"/>
          <w:sz w:val="24"/>
          <w:szCs w:val="24"/>
        </w:rPr>
        <w:t>Gravelle w</w:t>
      </w:r>
      <w:r w:rsidR="002F636F">
        <w:rPr>
          <w:rFonts w:cstheme="minorHAnsi"/>
          <w:sz w:val="24"/>
          <w:szCs w:val="24"/>
        </w:rPr>
        <w:t>ho was often the source of those</w:t>
      </w:r>
      <w:r w:rsidR="00DD2073" w:rsidRPr="007875BB">
        <w:rPr>
          <w:rFonts w:cstheme="minorHAnsi"/>
          <w:sz w:val="24"/>
          <w:szCs w:val="24"/>
        </w:rPr>
        <w:t xml:space="preserve"> comments. Gravelle called the </w:t>
      </w:r>
      <w:r w:rsidR="00902709">
        <w:rPr>
          <w:rFonts w:cstheme="minorHAnsi"/>
          <w:sz w:val="24"/>
          <w:szCs w:val="24"/>
        </w:rPr>
        <w:t>Applicant</w:t>
      </w:r>
      <w:r w:rsidR="00DD2073" w:rsidRPr="007875BB">
        <w:rPr>
          <w:rFonts w:cstheme="minorHAnsi"/>
          <w:sz w:val="24"/>
          <w:szCs w:val="24"/>
        </w:rPr>
        <w:t xml:space="preserve"> ‘Crazy Ivan’, mocked his accent and described the </w:t>
      </w:r>
      <w:r w:rsidR="00902709">
        <w:rPr>
          <w:rFonts w:cstheme="minorHAnsi"/>
          <w:sz w:val="24"/>
          <w:szCs w:val="24"/>
        </w:rPr>
        <w:t>Applicant</w:t>
      </w:r>
      <w:r w:rsidR="00DD2073" w:rsidRPr="007875BB">
        <w:rPr>
          <w:rFonts w:cstheme="minorHAnsi"/>
          <w:sz w:val="24"/>
          <w:szCs w:val="24"/>
        </w:rPr>
        <w:t xml:space="preserve"> as a ‘loose cannon’ and questioned why Greco was representing someone who </w:t>
      </w:r>
      <w:r w:rsidR="00C94ECF">
        <w:rPr>
          <w:rFonts w:cstheme="minorHAnsi"/>
          <w:sz w:val="24"/>
          <w:szCs w:val="24"/>
        </w:rPr>
        <w:t>is ‘crazy’ and a ‘loose cannon’.</w:t>
      </w:r>
      <w:r w:rsidR="00495F61">
        <w:rPr>
          <w:rStyle w:val="FootnoteReference"/>
          <w:rFonts w:cstheme="minorHAnsi"/>
          <w:sz w:val="24"/>
          <w:szCs w:val="24"/>
        </w:rPr>
        <w:footnoteReference w:id="11"/>
      </w:r>
    </w:p>
    <w:p w:rsidR="0067390E" w:rsidRPr="0067390E" w:rsidRDefault="0067390E" w:rsidP="00C94ECF">
      <w:pPr>
        <w:pStyle w:val="ListParagraph"/>
        <w:rPr>
          <w:rFonts w:cstheme="minorHAnsi"/>
          <w:sz w:val="24"/>
          <w:szCs w:val="24"/>
        </w:rPr>
      </w:pPr>
    </w:p>
    <w:p w:rsidR="00DD2073" w:rsidRDefault="00C94ECF" w:rsidP="00C94ECF">
      <w:pPr>
        <w:pStyle w:val="ListParagraph"/>
        <w:numPr>
          <w:ilvl w:val="0"/>
          <w:numId w:val="2"/>
        </w:numPr>
        <w:ind w:hanging="720"/>
        <w:rPr>
          <w:rFonts w:cstheme="minorHAnsi"/>
          <w:sz w:val="24"/>
          <w:szCs w:val="24"/>
        </w:rPr>
      </w:pPr>
      <w:r>
        <w:rPr>
          <w:rFonts w:cstheme="minorHAnsi"/>
          <w:sz w:val="24"/>
          <w:szCs w:val="24"/>
        </w:rPr>
        <w:lastRenderedPageBreak/>
        <w:t xml:space="preserve">Greco’s </w:t>
      </w:r>
      <w:r w:rsidR="00DC7708">
        <w:rPr>
          <w:rFonts w:cstheme="minorHAnsi"/>
          <w:sz w:val="24"/>
          <w:szCs w:val="24"/>
        </w:rPr>
        <w:t xml:space="preserve">testimony </w:t>
      </w:r>
      <w:r w:rsidR="00DD2073">
        <w:rPr>
          <w:rFonts w:cstheme="minorHAnsi"/>
          <w:sz w:val="24"/>
          <w:szCs w:val="24"/>
        </w:rPr>
        <w:t>corrobora</w:t>
      </w:r>
      <w:r w:rsidR="00DC7708">
        <w:rPr>
          <w:rFonts w:cstheme="minorHAnsi"/>
          <w:sz w:val="24"/>
          <w:szCs w:val="24"/>
        </w:rPr>
        <w:t xml:space="preserve">tes </w:t>
      </w:r>
      <w:r>
        <w:rPr>
          <w:rFonts w:cstheme="minorHAnsi"/>
          <w:sz w:val="24"/>
          <w:szCs w:val="24"/>
        </w:rPr>
        <w:t xml:space="preserve">the </w:t>
      </w:r>
      <w:r w:rsidR="00902709">
        <w:rPr>
          <w:rFonts w:cstheme="minorHAnsi"/>
          <w:sz w:val="24"/>
          <w:szCs w:val="24"/>
        </w:rPr>
        <w:t>Applicant</w:t>
      </w:r>
      <w:r w:rsidR="00DD2073">
        <w:rPr>
          <w:rFonts w:cstheme="minorHAnsi"/>
          <w:sz w:val="24"/>
          <w:szCs w:val="24"/>
        </w:rPr>
        <w:t xml:space="preserve">’s evidence and how that nickname was used in reference to him. It is a plain and simple observation that Gravelle ridiculed the </w:t>
      </w:r>
      <w:r w:rsidR="00902709">
        <w:rPr>
          <w:rFonts w:cstheme="minorHAnsi"/>
          <w:sz w:val="24"/>
          <w:szCs w:val="24"/>
        </w:rPr>
        <w:t>Applicant</w:t>
      </w:r>
      <w:r w:rsidR="00DD2073">
        <w:rPr>
          <w:rFonts w:cstheme="minorHAnsi"/>
          <w:sz w:val="24"/>
          <w:szCs w:val="24"/>
        </w:rPr>
        <w:t xml:space="preserve"> </w:t>
      </w:r>
      <w:r w:rsidR="00FA1ABB">
        <w:rPr>
          <w:rFonts w:cstheme="minorHAnsi"/>
          <w:sz w:val="24"/>
          <w:szCs w:val="24"/>
        </w:rPr>
        <w:t xml:space="preserve">and </w:t>
      </w:r>
      <w:r w:rsidR="00DD2073">
        <w:rPr>
          <w:rFonts w:cstheme="minorHAnsi"/>
          <w:sz w:val="24"/>
          <w:szCs w:val="24"/>
        </w:rPr>
        <w:t xml:space="preserve">his references </w:t>
      </w:r>
      <w:r w:rsidR="00FA1ABB">
        <w:rPr>
          <w:rFonts w:cstheme="minorHAnsi"/>
          <w:sz w:val="24"/>
          <w:szCs w:val="24"/>
        </w:rPr>
        <w:t xml:space="preserve">of </w:t>
      </w:r>
      <w:r w:rsidR="00DD2073">
        <w:rPr>
          <w:rFonts w:cstheme="minorHAnsi"/>
          <w:sz w:val="24"/>
          <w:szCs w:val="24"/>
        </w:rPr>
        <w:t xml:space="preserve">the </w:t>
      </w:r>
      <w:r w:rsidR="00902709">
        <w:rPr>
          <w:rFonts w:cstheme="minorHAnsi"/>
          <w:sz w:val="24"/>
          <w:szCs w:val="24"/>
        </w:rPr>
        <w:t>Applicant</w:t>
      </w:r>
      <w:r w:rsidR="00DD2073">
        <w:rPr>
          <w:rFonts w:cstheme="minorHAnsi"/>
          <w:sz w:val="24"/>
          <w:szCs w:val="24"/>
        </w:rPr>
        <w:t xml:space="preserve"> as ‘crazy’ and ‘loose cannon’, is not much different from him referencing the </w:t>
      </w:r>
      <w:r w:rsidR="00902709">
        <w:rPr>
          <w:rFonts w:cstheme="minorHAnsi"/>
          <w:sz w:val="24"/>
          <w:szCs w:val="24"/>
        </w:rPr>
        <w:t>Applicant</w:t>
      </w:r>
      <w:r w:rsidR="00DD2073">
        <w:rPr>
          <w:rFonts w:cstheme="minorHAnsi"/>
          <w:sz w:val="24"/>
          <w:szCs w:val="24"/>
        </w:rPr>
        <w:t xml:space="preserve"> as ‘Crazy Ivan’.</w:t>
      </w:r>
      <w:r w:rsidR="00DD2073">
        <w:rPr>
          <w:rStyle w:val="FootnoteReference"/>
          <w:rFonts w:cstheme="minorHAnsi"/>
          <w:sz w:val="24"/>
          <w:szCs w:val="24"/>
        </w:rPr>
        <w:footnoteReference w:id="12"/>
      </w:r>
    </w:p>
    <w:p w:rsidR="00DD2073" w:rsidRPr="00615406" w:rsidRDefault="00DD2073" w:rsidP="00495F61">
      <w:pPr>
        <w:pStyle w:val="ListParagraph"/>
        <w:spacing w:line="240" w:lineRule="auto"/>
        <w:rPr>
          <w:rFonts w:cstheme="minorHAnsi"/>
          <w:noProof/>
          <w:sz w:val="24"/>
          <w:szCs w:val="24"/>
        </w:rPr>
      </w:pPr>
    </w:p>
    <w:p w:rsidR="00DD2073" w:rsidRDefault="00C94ECF" w:rsidP="00C94ECF">
      <w:pPr>
        <w:pStyle w:val="ListParagraph"/>
        <w:numPr>
          <w:ilvl w:val="0"/>
          <w:numId w:val="2"/>
        </w:numPr>
        <w:ind w:hanging="720"/>
        <w:rPr>
          <w:rFonts w:cstheme="minorHAnsi"/>
          <w:sz w:val="24"/>
          <w:szCs w:val="24"/>
        </w:rPr>
      </w:pPr>
      <w:r>
        <w:rPr>
          <w:rFonts w:cstheme="minorHAnsi"/>
          <w:noProof/>
          <w:sz w:val="24"/>
          <w:szCs w:val="24"/>
        </w:rPr>
        <w:t>T</w:t>
      </w:r>
      <w:r w:rsidR="00DD2073">
        <w:rPr>
          <w:rFonts w:cstheme="minorHAnsi"/>
          <w:noProof/>
          <w:sz w:val="24"/>
          <w:szCs w:val="24"/>
        </w:rPr>
        <w:t xml:space="preserve">his reference of the </w:t>
      </w:r>
      <w:r w:rsidR="00902709">
        <w:rPr>
          <w:rFonts w:cstheme="minorHAnsi"/>
          <w:noProof/>
          <w:sz w:val="24"/>
          <w:szCs w:val="24"/>
        </w:rPr>
        <w:t>Applicant</w:t>
      </w:r>
      <w:r w:rsidR="00DD2073">
        <w:rPr>
          <w:rFonts w:cstheme="minorHAnsi"/>
          <w:noProof/>
          <w:sz w:val="24"/>
          <w:szCs w:val="24"/>
        </w:rPr>
        <w:t xml:space="preserve"> </w:t>
      </w:r>
      <w:r>
        <w:rPr>
          <w:rFonts w:cstheme="minorHAnsi"/>
          <w:noProof/>
          <w:sz w:val="24"/>
          <w:szCs w:val="24"/>
        </w:rPr>
        <w:t xml:space="preserve">does </w:t>
      </w:r>
      <w:r w:rsidR="00DD2073">
        <w:rPr>
          <w:rFonts w:cstheme="minorHAnsi"/>
          <w:noProof/>
          <w:sz w:val="24"/>
          <w:szCs w:val="24"/>
        </w:rPr>
        <w:t>portray him as a Crazy Russian.</w:t>
      </w:r>
    </w:p>
    <w:p w:rsidR="00DD2073" w:rsidRPr="00830642" w:rsidRDefault="00DD2073" w:rsidP="00495F61">
      <w:pPr>
        <w:pStyle w:val="ListParagraph"/>
        <w:spacing w:line="240" w:lineRule="auto"/>
        <w:rPr>
          <w:rFonts w:cstheme="minorHAnsi"/>
          <w:noProof/>
          <w:sz w:val="24"/>
          <w:szCs w:val="24"/>
        </w:rPr>
      </w:pPr>
    </w:p>
    <w:p w:rsidR="00DD2073" w:rsidRDefault="00DD2073" w:rsidP="00C94ECF">
      <w:pPr>
        <w:pStyle w:val="ListParagraph"/>
        <w:numPr>
          <w:ilvl w:val="0"/>
          <w:numId w:val="2"/>
        </w:numPr>
        <w:ind w:hanging="720"/>
        <w:rPr>
          <w:rFonts w:cstheme="minorHAnsi"/>
          <w:sz w:val="24"/>
          <w:szCs w:val="24"/>
        </w:rPr>
      </w:pPr>
      <w:r>
        <w:rPr>
          <w:rFonts w:cstheme="minorHAnsi"/>
          <w:noProof/>
          <w:sz w:val="24"/>
          <w:szCs w:val="24"/>
        </w:rPr>
        <w:t xml:space="preserve">Items 35 to 38 talk about Campbell’s view on the actual number of </w:t>
      </w:r>
      <w:r w:rsidR="00815112">
        <w:rPr>
          <w:rFonts w:cstheme="minorHAnsi"/>
          <w:noProof/>
          <w:sz w:val="24"/>
          <w:szCs w:val="24"/>
        </w:rPr>
        <w:t xml:space="preserve">registered </w:t>
      </w:r>
      <w:r>
        <w:rPr>
          <w:rFonts w:cstheme="minorHAnsi"/>
          <w:noProof/>
          <w:sz w:val="24"/>
          <w:szCs w:val="24"/>
        </w:rPr>
        <w:t xml:space="preserve">firearms in the </w:t>
      </w:r>
      <w:r w:rsidR="00902709">
        <w:rPr>
          <w:rFonts w:cstheme="minorHAnsi"/>
          <w:noProof/>
          <w:sz w:val="24"/>
          <w:szCs w:val="24"/>
        </w:rPr>
        <w:t>Applicant</w:t>
      </w:r>
      <w:r>
        <w:rPr>
          <w:rFonts w:cstheme="minorHAnsi"/>
          <w:noProof/>
          <w:sz w:val="24"/>
          <w:szCs w:val="24"/>
        </w:rPr>
        <w:t xml:space="preserve">’s collection, the </w:t>
      </w:r>
      <w:r w:rsidR="00902709">
        <w:rPr>
          <w:rFonts w:cstheme="minorHAnsi"/>
          <w:noProof/>
          <w:sz w:val="24"/>
          <w:szCs w:val="24"/>
        </w:rPr>
        <w:t>Applicant</w:t>
      </w:r>
      <w:r>
        <w:rPr>
          <w:rFonts w:cstheme="minorHAnsi"/>
          <w:noProof/>
          <w:sz w:val="24"/>
          <w:szCs w:val="24"/>
        </w:rPr>
        <w:t>’s complaint to the OPPA and his actions when he learned</w:t>
      </w:r>
      <w:r w:rsidR="00495F61">
        <w:rPr>
          <w:rFonts w:cstheme="minorHAnsi"/>
          <w:noProof/>
          <w:sz w:val="24"/>
          <w:szCs w:val="24"/>
        </w:rPr>
        <w:t xml:space="preserve"> of the OPPA investigation. Item 38 </w:t>
      </w:r>
      <w:r>
        <w:rPr>
          <w:rFonts w:cstheme="minorHAnsi"/>
          <w:noProof/>
          <w:sz w:val="24"/>
          <w:szCs w:val="24"/>
        </w:rPr>
        <w:t xml:space="preserve">states that the </w:t>
      </w:r>
      <w:r w:rsidR="00902709">
        <w:rPr>
          <w:rFonts w:cstheme="minorHAnsi"/>
          <w:noProof/>
          <w:sz w:val="24"/>
          <w:szCs w:val="24"/>
        </w:rPr>
        <w:t>Applicant</w:t>
      </w:r>
      <w:r>
        <w:rPr>
          <w:rFonts w:cstheme="minorHAnsi"/>
          <w:noProof/>
          <w:sz w:val="24"/>
          <w:szCs w:val="24"/>
        </w:rPr>
        <w:t xml:space="preserve"> had significant performance issues and that it was Campbell who moved the </w:t>
      </w:r>
      <w:r w:rsidR="00902709">
        <w:rPr>
          <w:rFonts w:cstheme="minorHAnsi"/>
          <w:noProof/>
          <w:sz w:val="24"/>
          <w:szCs w:val="24"/>
        </w:rPr>
        <w:t>Applicant</w:t>
      </w:r>
      <w:r>
        <w:rPr>
          <w:rFonts w:cstheme="minorHAnsi"/>
          <w:noProof/>
          <w:sz w:val="24"/>
          <w:szCs w:val="24"/>
        </w:rPr>
        <w:t xml:space="preserve"> to a different platoon. </w:t>
      </w:r>
    </w:p>
    <w:p w:rsidR="00DD2073" w:rsidRPr="00830642" w:rsidRDefault="00DD2073" w:rsidP="00495F61">
      <w:pPr>
        <w:pStyle w:val="ListParagraph"/>
        <w:spacing w:line="240" w:lineRule="auto"/>
        <w:rPr>
          <w:rFonts w:cstheme="minorHAnsi"/>
          <w:noProof/>
          <w:sz w:val="24"/>
          <w:szCs w:val="24"/>
        </w:rPr>
      </w:pPr>
    </w:p>
    <w:p w:rsidR="00DD2073" w:rsidRDefault="00DD2073" w:rsidP="00495F61">
      <w:pPr>
        <w:pStyle w:val="ListParagraph"/>
        <w:numPr>
          <w:ilvl w:val="0"/>
          <w:numId w:val="2"/>
        </w:numPr>
        <w:ind w:hanging="720"/>
        <w:rPr>
          <w:rFonts w:cstheme="minorHAnsi"/>
          <w:sz w:val="24"/>
          <w:szCs w:val="24"/>
        </w:rPr>
      </w:pPr>
      <w:r>
        <w:rPr>
          <w:rFonts w:cstheme="minorHAnsi"/>
          <w:noProof/>
          <w:sz w:val="24"/>
          <w:szCs w:val="24"/>
        </w:rPr>
        <w:t>First, the ‘significant performance issues’ Campbell was refering to in his testimony were not observed directly by Campbell</w:t>
      </w:r>
      <w:r w:rsidR="00495F61">
        <w:rPr>
          <w:rFonts w:cstheme="minorHAnsi"/>
          <w:noProof/>
          <w:sz w:val="24"/>
          <w:szCs w:val="24"/>
        </w:rPr>
        <w:t>,</w:t>
      </w:r>
      <w:r>
        <w:rPr>
          <w:rFonts w:cstheme="minorHAnsi"/>
          <w:noProof/>
          <w:sz w:val="24"/>
          <w:szCs w:val="24"/>
        </w:rPr>
        <w:t xml:space="preserve"> but were reported to him by Filman and Flindall. </w:t>
      </w:r>
      <w:r w:rsidR="003D6B23">
        <w:rPr>
          <w:rFonts w:cstheme="minorHAnsi"/>
          <w:noProof/>
          <w:sz w:val="24"/>
          <w:szCs w:val="24"/>
        </w:rPr>
        <w:t xml:space="preserve">This hearsay testimony </w:t>
      </w:r>
      <w:r w:rsidR="00CA23A5">
        <w:rPr>
          <w:rFonts w:cstheme="minorHAnsi"/>
          <w:noProof/>
          <w:sz w:val="24"/>
          <w:szCs w:val="24"/>
        </w:rPr>
        <w:t>is questionable and simply cannot be relied upon considering who it was co</w:t>
      </w:r>
      <w:r w:rsidR="000C5B17">
        <w:rPr>
          <w:rFonts w:cstheme="minorHAnsi"/>
          <w:noProof/>
          <w:sz w:val="24"/>
          <w:szCs w:val="24"/>
        </w:rPr>
        <w:t>m</w:t>
      </w:r>
      <w:r w:rsidR="00CA23A5">
        <w:rPr>
          <w:rFonts w:cstheme="minorHAnsi"/>
          <w:noProof/>
          <w:sz w:val="24"/>
          <w:szCs w:val="24"/>
        </w:rPr>
        <w:t xml:space="preserve">ing from (Filman and Flindall). </w:t>
      </w:r>
    </w:p>
    <w:p w:rsidR="00DD2073" w:rsidRPr="007A1D5B" w:rsidRDefault="00DD2073" w:rsidP="00495F61">
      <w:pPr>
        <w:pStyle w:val="ListParagraph"/>
        <w:spacing w:line="240" w:lineRule="auto"/>
        <w:rPr>
          <w:rFonts w:cstheme="minorHAnsi"/>
          <w:noProof/>
          <w:sz w:val="24"/>
          <w:szCs w:val="24"/>
        </w:rPr>
      </w:pPr>
    </w:p>
    <w:p w:rsidR="00DD2073" w:rsidRDefault="00DD2073" w:rsidP="00C94ECF">
      <w:pPr>
        <w:pStyle w:val="ListParagraph"/>
        <w:numPr>
          <w:ilvl w:val="0"/>
          <w:numId w:val="2"/>
        </w:numPr>
        <w:ind w:hanging="720"/>
        <w:rPr>
          <w:rFonts w:cstheme="minorHAnsi"/>
          <w:sz w:val="24"/>
          <w:szCs w:val="24"/>
        </w:rPr>
      </w:pPr>
      <w:r>
        <w:rPr>
          <w:rFonts w:cstheme="minorHAnsi"/>
          <w:noProof/>
          <w:sz w:val="24"/>
          <w:szCs w:val="24"/>
        </w:rPr>
        <w:t>Second, by now we know too well how Filman</w:t>
      </w:r>
      <w:r>
        <w:rPr>
          <w:rStyle w:val="FootnoteReference"/>
          <w:rFonts w:cstheme="minorHAnsi"/>
          <w:noProof/>
          <w:sz w:val="24"/>
          <w:szCs w:val="24"/>
        </w:rPr>
        <w:footnoteReference w:id="13"/>
      </w:r>
      <w:r>
        <w:rPr>
          <w:rFonts w:cstheme="minorHAnsi"/>
          <w:noProof/>
          <w:sz w:val="24"/>
          <w:szCs w:val="24"/>
        </w:rPr>
        <w:t xml:space="preserve"> and Flindall treated Jack</w:t>
      </w:r>
      <w:r>
        <w:rPr>
          <w:rStyle w:val="FootnoteReference"/>
          <w:rFonts w:cstheme="minorHAnsi"/>
          <w:noProof/>
          <w:sz w:val="24"/>
          <w:szCs w:val="24"/>
        </w:rPr>
        <w:footnoteReference w:id="14"/>
      </w:r>
      <w:r>
        <w:rPr>
          <w:rFonts w:cstheme="minorHAnsi"/>
          <w:noProof/>
          <w:sz w:val="24"/>
          <w:szCs w:val="24"/>
        </w:rPr>
        <w:t>. We also know that Campbell was aware of it.</w:t>
      </w:r>
      <w:r>
        <w:rPr>
          <w:rStyle w:val="FootnoteReference"/>
          <w:rFonts w:cstheme="minorHAnsi"/>
          <w:noProof/>
          <w:sz w:val="24"/>
          <w:szCs w:val="24"/>
        </w:rPr>
        <w:footnoteReference w:id="15"/>
      </w:r>
      <w:r>
        <w:rPr>
          <w:rFonts w:cstheme="minorHAnsi"/>
          <w:noProof/>
          <w:sz w:val="24"/>
          <w:szCs w:val="24"/>
        </w:rPr>
        <w:t xml:space="preserve"> Hence, were there significant performance issues or were there not? </w:t>
      </w:r>
      <w:r w:rsidR="00FA1ABB">
        <w:rPr>
          <w:rFonts w:cstheme="minorHAnsi"/>
          <w:noProof/>
          <w:sz w:val="24"/>
          <w:szCs w:val="24"/>
        </w:rPr>
        <w:t xml:space="preserve">If </w:t>
      </w:r>
      <w:r>
        <w:rPr>
          <w:rFonts w:cstheme="minorHAnsi"/>
          <w:noProof/>
          <w:sz w:val="24"/>
          <w:szCs w:val="24"/>
        </w:rPr>
        <w:t>there were performance issues, how significant were they? If Campbell himself made a determination that Jack was being poorly coached and poorly supervised and in fact was being targeted</w:t>
      </w:r>
      <w:r w:rsidR="00815112">
        <w:rPr>
          <w:rStyle w:val="FootnoteReference"/>
          <w:rFonts w:cstheme="minorHAnsi"/>
          <w:noProof/>
          <w:sz w:val="24"/>
          <w:szCs w:val="24"/>
        </w:rPr>
        <w:footnoteReference w:id="16"/>
      </w:r>
      <w:r>
        <w:rPr>
          <w:rFonts w:cstheme="minorHAnsi"/>
          <w:noProof/>
          <w:sz w:val="24"/>
          <w:szCs w:val="24"/>
        </w:rPr>
        <w:t>, how can one state at the same time that Jack had significant performance issues which were reported by the same people who failed to properly coach and properly supervise Jack in the first place? These are very obvious contradictions.</w:t>
      </w:r>
    </w:p>
    <w:p w:rsidR="00DD2073" w:rsidRPr="00027677" w:rsidRDefault="00DD2073" w:rsidP="00495F61">
      <w:pPr>
        <w:pStyle w:val="ListParagraph"/>
        <w:spacing w:line="240" w:lineRule="auto"/>
        <w:rPr>
          <w:rFonts w:cstheme="minorHAnsi"/>
          <w:noProof/>
          <w:sz w:val="24"/>
          <w:szCs w:val="24"/>
        </w:rPr>
      </w:pPr>
    </w:p>
    <w:p w:rsidR="00E31AF1" w:rsidRPr="00E31AF1" w:rsidRDefault="00E31AF1" w:rsidP="00495F61">
      <w:pPr>
        <w:pStyle w:val="ListParagraph"/>
        <w:numPr>
          <w:ilvl w:val="0"/>
          <w:numId w:val="2"/>
        </w:numPr>
        <w:ind w:hanging="720"/>
        <w:rPr>
          <w:rFonts w:cstheme="minorHAnsi"/>
          <w:sz w:val="24"/>
          <w:szCs w:val="24"/>
        </w:rPr>
      </w:pPr>
      <w:r>
        <w:rPr>
          <w:rFonts w:cstheme="minorHAnsi"/>
          <w:noProof/>
          <w:sz w:val="24"/>
          <w:szCs w:val="24"/>
        </w:rPr>
        <w:t xml:space="preserve">Third, Counsel is </w:t>
      </w:r>
      <w:r w:rsidR="00495F61">
        <w:rPr>
          <w:rFonts w:cstheme="minorHAnsi"/>
          <w:noProof/>
          <w:sz w:val="24"/>
          <w:szCs w:val="24"/>
        </w:rPr>
        <w:t xml:space="preserve">geniualy mistaken here. </w:t>
      </w:r>
      <w:r w:rsidR="003024FB">
        <w:rPr>
          <w:rFonts w:cstheme="minorHAnsi"/>
          <w:noProof/>
          <w:sz w:val="24"/>
          <w:szCs w:val="24"/>
        </w:rPr>
        <w:t xml:space="preserve">It was regional </w:t>
      </w:r>
      <w:r>
        <w:rPr>
          <w:rFonts w:cstheme="minorHAnsi"/>
          <w:noProof/>
          <w:sz w:val="24"/>
          <w:szCs w:val="24"/>
        </w:rPr>
        <w:t xml:space="preserve">Acting Superintendent Doug Borton, who orchestrated the move of the </w:t>
      </w:r>
      <w:r w:rsidR="00902709">
        <w:rPr>
          <w:rFonts w:cstheme="minorHAnsi"/>
          <w:noProof/>
          <w:sz w:val="24"/>
          <w:szCs w:val="24"/>
        </w:rPr>
        <w:t>Applicant</w:t>
      </w:r>
      <w:r>
        <w:rPr>
          <w:rFonts w:cstheme="minorHAnsi"/>
          <w:noProof/>
          <w:sz w:val="24"/>
          <w:szCs w:val="24"/>
        </w:rPr>
        <w:t xml:space="preserve"> from one platoon to another</w:t>
      </w:r>
      <w:r w:rsidR="003024FB">
        <w:rPr>
          <w:rFonts w:cstheme="minorHAnsi"/>
          <w:noProof/>
          <w:sz w:val="24"/>
          <w:szCs w:val="24"/>
        </w:rPr>
        <w:t xml:space="preserve"> and not Campbell</w:t>
      </w:r>
      <w:r>
        <w:rPr>
          <w:rFonts w:cstheme="minorHAnsi"/>
          <w:noProof/>
          <w:sz w:val="24"/>
          <w:szCs w:val="24"/>
        </w:rPr>
        <w:t>.</w:t>
      </w:r>
      <w:r>
        <w:rPr>
          <w:rStyle w:val="FootnoteReference"/>
          <w:rFonts w:cstheme="minorHAnsi"/>
          <w:noProof/>
          <w:sz w:val="24"/>
          <w:szCs w:val="24"/>
        </w:rPr>
        <w:footnoteReference w:id="17"/>
      </w:r>
      <w:r>
        <w:rPr>
          <w:rFonts w:cstheme="minorHAnsi"/>
          <w:noProof/>
          <w:sz w:val="24"/>
          <w:szCs w:val="24"/>
        </w:rPr>
        <w:t xml:space="preserve"> Campbell did not have the authorty to move a recruit from one platoon to another since a recruit is still attached to a region until succesfully pasing the probationary period and only then being attached permanently to a specific detachment. Hence, it was Borton’s decision when he learned of German’s investigation.</w:t>
      </w:r>
      <w:r>
        <w:rPr>
          <w:rStyle w:val="FootnoteReference"/>
          <w:rFonts w:cstheme="minorHAnsi"/>
          <w:noProof/>
          <w:sz w:val="24"/>
          <w:szCs w:val="24"/>
        </w:rPr>
        <w:footnoteReference w:id="18"/>
      </w:r>
    </w:p>
    <w:p w:rsidR="007F0916" w:rsidRPr="007F0916" w:rsidRDefault="007F0916" w:rsidP="00495F61">
      <w:pPr>
        <w:pStyle w:val="ListParagraph"/>
        <w:spacing w:line="240" w:lineRule="auto"/>
        <w:rPr>
          <w:rFonts w:cstheme="minorHAnsi"/>
          <w:sz w:val="24"/>
          <w:szCs w:val="24"/>
        </w:rPr>
      </w:pPr>
    </w:p>
    <w:p w:rsidR="00DD2073" w:rsidRDefault="00DD2073" w:rsidP="00C94ECF">
      <w:pPr>
        <w:pStyle w:val="ListParagraph"/>
        <w:numPr>
          <w:ilvl w:val="0"/>
          <w:numId w:val="2"/>
        </w:numPr>
        <w:ind w:hanging="720"/>
        <w:rPr>
          <w:rFonts w:cstheme="minorHAnsi"/>
          <w:sz w:val="24"/>
          <w:szCs w:val="24"/>
        </w:rPr>
      </w:pPr>
      <w:r w:rsidRPr="007F0916">
        <w:rPr>
          <w:rFonts w:cstheme="minorHAnsi"/>
          <w:sz w:val="24"/>
          <w:szCs w:val="24"/>
        </w:rPr>
        <w:lastRenderedPageBreak/>
        <w:t xml:space="preserve">In the last sentence of item 38 Counsel is failing to take into account Kohen’s </w:t>
      </w:r>
      <w:r w:rsidR="00495F61">
        <w:rPr>
          <w:rFonts w:cstheme="minorHAnsi"/>
          <w:sz w:val="24"/>
          <w:szCs w:val="24"/>
        </w:rPr>
        <w:t xml:space="preserve">noted </w:t>
      </w:r>
      <w:r w:rsidRPr="007F0916">
        <w:rPr>
          <w:rFonts w:cstheme="minorHAnsi"/>
          <w:sz w:val="24"/>
          <w:szCs w:val="24"/>
        </w:rPr>
        <w:t>observations of Flindall – ‘</w:t>
      </w:r>
      <w:r w:rsidRPr="007F0916">
        <w:rPr>
          <w:rFonts w:cstheme="minorHAnsi"/>
          <w:i/>
          <w:iCs/>
          <w:sz w:val="24"/>
          <w:szCs w:val="24"/>
        </w:rPr>
        <w:t>has a strong dislike for Probationary Jack’</w:t>
      </w:r>
      <w:r w:rsidRPr="007F0916">
        <w:rPr>
          <w:rFonts w:cstheme="minorHAnsi"/>
          <w:sz w:val="24"/>
          <w:szCs w:val="24"/>
        </w:rPr>
        <w:t>.</w:t>
      </w:r>
      <w:r>
        <w:rPr>
          <w:rStyle w:val="FootnoteReference"/>
          <w:rFonts w:cstheme="minorHAnsi"/>
          <w:sz w:val="24"/>
          <w:szCs w:val="24"/>
        </w:rPr>
        <w:footnoteReference w:id="19"/>
      </w:r>
      <w:r w:rsidR="00BC199C">
        <w:rPr>
          <w:rFonts w:cstheme="minorHAnsi"/>
          <w:sz w:val="24"/>
          <w:szCs w:val="24"/>
        </w:rPr>
        <w:t xml:space="preserve"> </w:t>
      </w:r>
      <w:r w:rsidR="00BC199C" w:rsidRPr="00BC199C">
        <w:rPr>
          <w:rFonts w:cstheme="minorHAnsi"/>
          <w:sz w:val="24"/>
          <w:szCs w:val="24"/>
        </w:rPr>
        <w:t>Counsel says Kohen’s testimony or evidence was trustworthy and reliable (item 81 of Respondent’s reply)</w:t>
      </w:r>
      <w:r w:rsidR="00A84285">
        <w:rPr>
          <w:rFonts w:cstheme="minorHAnsi"/>
          <w:sz w:val="24"/>
          <w:szCs w:val="24"/>
        </w:rPr>
        <w:t xml:space="preserve"> and trustworthy and credible (item 101 of Respondent’s reply)</w:t>
      </w:r>
      <w:r w:rsidR="00BC199C" w:rsidRPr="00BC199C">
        <w:rPr>
          <w:rFonts w:cstheme="minorHAnsi"/>
          <w:sz w:val="24"/>
          <w:szCs w:val="24"/>
        </w:rPr>
        <w:t xml:space="preserve">. Hence, </w:t>
      </w:r>
      <w:r w:rsidR="003953EB">
        <w:rPr>
          <w:rFonts w:cstheme="minorHAnsi"/>
          <w:sz w:val="24"/>
          <w:szCs w:val="24"/>
        </w:rPr>
        <w:t xml:space="preserve">according to Counsel </w:t>
      </w:r>
      <w:r w:rsidR="00BC199C" w:rsidRPr="00BC199C">
        <w:rPr>
          <w:rFonts w:cstheme="minorHAnsi"/>
          <w:sz w:val="24"/>
          <w:szCs w:val="24"/>
        </w:rPr>
        <w:t>this determination by K</w:t>
      </w:r>
      <w:r w:rsidR="00A84285">
        <w:rPr>
          <w:rFonts w:cstheme="minorHAnsi"/>
          <w:sz w:val="24"/>
          <w:szCs w:val="24"/>
        </w:rPr>
        <w:t xml:space="preserve">ohen of Flindall is trustworthy, credible </w:t>
      </w:r>
      <w:r w:rsidR="00BC199C" w:rsidRPr="00BC199C">
        <w:rPr>
          <w:rFonts w:cstheme="minorHAnsi"/>
          <w:sz w:val="24"/>
          <w:szCs w:val="24"/>
        </w:rPr>
        <w:t>and reliable. The fact that Kohen was able to make this determination based on telephone communications is of particular importance. Though we do not have a recording of each of the calls Kohen was engaged in with Flindall</w:t>
      </w:r>
      <w:r w:rsidR="00FA1ABB">
        <w:rPr>
          <w:rFonts w:cstheme="minorHAnsi"/>
          <w:sz w:val="24"/>
          <w:szCs w:val="24"/>
        </w:rPr>
        <w:t>,</w:t>
      </w:r>
      <w:r w:rsidR="00BC199C" w:rsidRPr="00BC199C">
        <w:rPr>
          <w:rFonts w:cstheme="minorHAnsi"/>
          <w:sz w:val="24"/>
          <w:szCs w:val="24"/>
        </w:rPr>
        <w:t xml:space="preserve"> it is clear that she made that observation based on what Flindall said of the </w:t>
      </w:r>
      <w:r w:rsidR="00902709">
        <w:rPr>
          <w:rFonts w:cstheme="minorHAnsi"/>
          <w:sz w:val="24"/>
          <w:szCs w:val="24"/>
        </w:rPr>
        <w:t>Applicant</w:t>
      </w:r>
      <w:r w:rsidR="00BC199C" w:rsidRPr="00BC199C">
        <w:rPr>
          <w:rFonts w:cstheme="minorHAnsi"/>
          <w:sz w:val="24"/>
          <w:szCs w:val="24"/>
        </w:rPr>
        <w:t xml:space="preserve"> and how he talked about the </w:t>
      </w:r>
      <w:r w:rsidR="00902709">
        <w:rPr>
          <w:rFonts w:cstheme="minorHAnsi"/>
          <w:sz w:val="24"/>
          <w:szCs w:val="24"/>
        </w:rPr>
        <w:t>Applicant</w:t>
      </w:r>
      <w:r w:rsidR="00BC199C" w:rsidRPr="00BC199C">
        <w:rPr>
          <w:rFonts w:cstheme="minorHAnsi"/>
          <w:sz w:val="24"/>
          <w:szCs w:val="24"/>
        </w:rPr>
        <w:t xml:space="preserve">. </w:t>
      </w:r>
    </w:p>
    <w:p w:rsidR="00C94ECF" w:rsidRDefault="00C94ECF" w:rsidP="003953EB">
      <w:pPr>
        <w:pStyle w:val="ListParagraph"/>
        <w:spacing w:line="240" w:lineRule="auto"/>
        <w:rPr>
          <w:rFonts w:cstheme="minorHAnsi"/>
          <w:sz w:val="24"/>
          <w:szCs w:val="24"/>
        </w:rPr>
      </w:pPr>
    </w:p>
    <w:p w:rsidR="00F1139F" w:rsidRDefault="00DD2073" w:rsidP="003953EB">
      <w:pPr>
        <w:pStyle w:val="ListParagraph"/>
        <w:numPr>
          <w:ilvl w:val="0"/>
          <w:numId w:val="2"/>
        </w:numPr>
        <w:ind w:hanging="720"/>
        <w:rPr>
          <w:rFonts w:cstheme="minorHAnsi"/>
          <w:sz w:val="24"/>
          <w:szCs w:val="24"/>
        </w:rPr>
      </w:pPr>
      <w:r>
        <w:rPr>
          <w:rFonts w:cstheme="minorHAnsi"/>
          <w:sz w:val="24"/>
          <w:szCs w:val="24"/>
        </w:rPr>
        <w:t>In item 40 Counsel writes that Filman was not aware of any concerns regarding Jack’s accent, yet recalls Jack asking him about speech therapy for his accent. However, in two PERs Filman writes ‘</w:t>
      </w:r>
      <w:r w:rsidRPr="005F713C">
        <w:rPr>
          <w:rFonts w:cstheme="minorHAnsi"/>
          <w:i/>
          <w:iCs/>
          <w:sz w:val="24"/>
          <w:szCs w:val="24"/>
        </w:rPr>
        <w:t xml:space="preserve">Jack is </w:t>
      </w:r>
      <w:r>
        <w:rPr>
          <w:rFonts w:cstheme="minorHAnsi"/>
          <w:i/>
          <w:iCs/>
          <w:sz w:val="24"/>
          <w:szCs w:val="24"/>
        </w:rPr>
        <w:t>conscious</w:t>
      </w:r>
      <w:r w:rsidRPr="005F713C">
        <w:rPr>
          <w:rFonts w:cstheme="minorHAnsi"/>
          <w:i/>
          <w:iCs/>
          <w:sz w:val="24"/>
          <w:szCs w:val="24"/>
        </w:rPr>
        <w:t xml:space="preserve"> he </w:t>
      </w:r>
      <w:r>
        <w:rPr>
          <w:rFonts w:cstheme="minorHAnsi"/>
          <w:i/>
          <w:iCs/>
          <w:sz w:val="24"/>
          <w:szCs w:val="24"/>
        </w:rPr>
        <w:t xml:space="preserve">speaks with an </w:t>
      </w:r>
      <w:r w:rsidRPr="005F713C">
        <w:rPr>
          <w:rFonts w:cstheme="minorHAnsi"/>
          <w:i/>
          <w:iCs/>
          <w:sz w:val="24"/>
          <w:szCs w:val="24"/>
        </w:rPr>
        <w:t>accent’</w:t>
      </w:r>
      <w:r>
        <w:rPr>
          <w:rFonts w:cstheme="minorHAnsi"/>
          <w:sz w:val="24"/>
          <w:szCs w:val="24"/>
        </w:rPr>
        <w:t>.</w:t>
      </w:r>
      <w:r>
        <w:rPr>
          <w:rStyle w:val="FootnoteReference"/>
          <w:rFonts w:cstheme="minorHAnsi"/>
          <w:sz w:val="24"/>
          <w:szCs w:val="24"/>
        </w:rPr>
        <w:footnoteReference w:id="20"/>
      </w:r>
      <w:r w:rsidR="000F4A0E">
        <w:rPr>
          <w:rFonts w:cstheme="minorHAnsi"/>
          <w:sz w:val="24"/>
          <w:szCs w:val="24"/>
        </w:rPr>
        <w:t xml:space="preserve"> </w:t>
      </w:r>
      <w:r w:rsidR="000F4A0E" w:rsidRPr="000F4A0E">
        <w:rPr>
          <w:rFonts w:cstheme="minorHAnsi"/>
          <w:sz w:val="24"/>
          <w:szCs w:val="24"/>
        </w:rPr>
        <w:t xml:space="preserve">The statement here contradicts itself. The </w:t>
      </w:r>
      <w:r w:rsidR="00902709">
        <w:rPr>
          <w:rFonts w:cstheme="minorHAnsi"/>
          <w:sz w:val="24"/>
          <w:szCs w:val="24"/>
        </w:rPr>
        <w:t>Applicant</w:t>
      </w:r>
      <w:r w:rsidR="000F4A0E" w:rsidRPr="000F4A0E">
        <w:rPr>
          <w:rFonts w:cstheme="minorHAnsi"/>
          <w:sz w:val="24"/>
          <w:szCs w:val="24"/>
        </w:rPr>
        <w:t xml:space="preserve"> is being </w:t>
      </w:r>
      <w:r w:rsidR="003953EB">
        <w:rPr>
          <w:rFonts w:cstheme="minorHAnsi"/>
          <w:sz w:val="24"/>
          <w:szCs w:val="24"/>
        </w:rPr>
        <w:t>formally</w:t>
      </w:r>
      <w:r w:rsidR="000F4A0E" w:rsidRPr="000F4A0E">
        <w:rPr>
          <w:rFonts w:cstheme="minorHAnsi"/>
          <w:sz w:val="24"/>
          <w:szCs w:val="24"/>
        </w:rPr>
        <w:t xml:space="preserve"> documented about his noticeable accent in two </w:t>
      </w:r>
      <w:r w:rsidR="00185416">
        <w:rPr>
          <w:rFonts w:cstheme="minorHAnsi"/>
          <w:sz w:val="24"/>
          <w:szCs w:val="24"/>
        </w:rPr>
        <w:t>formal</w:t>
      </w:r>
      <w:r w:rsidR="000F4A0E" w:rsidRPr="000F4A0E">
        <w:rPr>
          <w:rFonts w:cstheme="minorHAnsi"/>
          <w:sz w:val="24"/>
          <w:szCs w:val="24"/>
        </w:rPr>
        <w:t xml:space="preserve"> documents.</w:t>
      </w:r>
    </w:p>
    <w:p w:rsidR="00F1139F" w:rsidRPr="00F1139F" w:rsidRDefault="00F1139F" w:rsidP="003953EB">
      <w:pPr>
        <w:pStyle w:val="ListParagraph"/>
        <w:spacing w:line="240" w:lineRule="auto"/>
        <w:rPr>
          <w:rFonts w:cstheme="minorHAnsi"/>
          <w:sz w:val="24"/>
          <w:szCs w:val="24"/>
        </w:rPr>
      </w:pPr>
    </w:p>
    <w:p w:rsidR="00C64649" w:rsidRDefault="006B7CCE" w:rsidP="00C94ECF">
      <w:pPr>
        <w:pStyle w:val="ListParagraph"/>
        <w:numPr>
          <w:ilvl w:val="0"/>
          <w:numId w:val="2"/>
        </w:numPr>
        <w:ind w:hanging="720"/>
        <w:rPr>
          <w:rFonts w:cstheme="minorHAnsi"/>
          <w:sz w:val="24"/>
          <w:szCs w:val="24"/>
        </w:rPr>
      </w:pPr>
      <w:r w:rsidRPr="00F1139F">
        <w:rPr>
          <w:rFonts w:cstheme="minorHAnsi"/>
          <w:sz w:val="24"/>
          <w:szCs w:val="24"/>
        </w:rPr>
        <w:t xml:space="preserve">Is it any wonder why the </w:t>
      </w:r>
      <w:r w:rsidR="00902709">
        <w:rPr>
          <w:rFonts w:cstheme="minorHAnsi"/>
          <w:sz w:val="24"/>
          <w:szCs w:val="24"/>
        </w:rPr>
        <w:t>Applicant</w:t>
      </w:r>
      <w:r w:rsidRPr="00F1139F">
        <w:rPr>
          <w:rFonts w:cstheme="minorHAnsi"/>
          <w:sz w:val="24"/>
          <w:szCs w:val="24"/>
        </w:rPr>
        <w:t xml:space="preserve"> approached Filman and asked him about speech therapy for his accent? It is truly nothing but discrimination by race, ethnic origin, ancestry, place of origin when the </w:t>
      </w:r>
      <w:r w:rsidR="00902709">
        <w:rPr>
          <w:rFonts w:cstheme="minorHAnsi"/>
          <w:sz w:val="24"/>
          <w:szCs w:val="24"/>
        </w:rPr>
        <w:t>Applicant</w:t>
      </w:r>
      <w:r w:rsidRPr="00F1139F">
        <w:rPr>
          <w:rFonts w:cstheme="minorHAnsi"/>
          <w:sz w:val="24"/>
          <w:szCs w:val="24"/>
        </w:rPr>
        <w:t xml:space="preserve"> was made acutely aware of his foreign </w:t>
      </w:r>
      <w:r w:rsidR="00C64649">
        <w:rPr>
          <w:rFonts w:cstheme="minorHAnsi"/>
          <w:sz w:val="24"/>
          <w:szCs w:val="24"/>
        </w:rPr>
        <w:t>accent</w:t>
      </w:r>
      <w:r w:rsidR="00DA6496">
        <w:rPr>
          <w:rFonts w:cstheme="minorHAnsi"/>
          <w:sz w:val="24"/>
          <w:szCs w:val="24"/>
        </w:rPr>
        <w:t xml:space="preserve"> time after time</w:t>
      </w:r>
      <w:r w:rsidR="00C64649">
        <w:rPr>
          <w:rFonts w:cstheme="minorHAnsi"/>
          <w:sz w:val="24"/>
          <w:szCs w:val="24"/>
        </w:rPr>
        <w:t>.</w:t>
      </w:r>
      <w:r w:rsidR="003C57BD">
        <w:rPr>
          <w:rFonts w:cstheme="minorHAnsi"/>
          <w:sz w:val="24"/>
          <w:szCs w:val="24"/>
        </w:rPr>
        <w:t xml:space="preserve"> The applicant testified that he was the only one in the detachment who spoke with an accent and it was a thick noticeable accent.</w:t>
      </w:r>
    </w:p>
    <w:p w:rsidR="00C64649" w:rsidRPr="00C64649" w:rsidRDefault="00C64649" w:rsidP="003953EB">
      <w:pPr>
        <w:pStyle w:val="ListParagraph"/>
        <w:spacing w:line="240" w:lineRule="auto"/>
        <w:rPr>
          <w:rFonts w:cstheme="minorHAnsi"/>
          <w:sz w:val="24"/>
          <w:szCs w:val="24"/>
        </w:rPr>
      </w:pPr>
    </w:p>
    <w:p w:rsidR="00AB1D61" w:rsidRPr="00C64649" w:rsidRDefault="00AB1D61" w:rsidP="003953EB">
      <w:pPr>
        <w:pStyle w:val="ListParagraph"/>
        <w:numPr>
          <w:ilvl w:val="0"/>
          <w:numId w:val="2"/>
        </w:numPr>
        <w:ind w:hanging="720"/>
        <w:rPr>
          <w:rFonts w:cstheme="minorHAnsi"/>
          <w:sz w:val="24"/>
          <w:szCs w:val="24"/>
        </w:rPr>
      </w:pPr>
      <w:r w:rsidRPr="00C64649">
        <w:rPr>
          <w:rFonts w:cstheme="minorHAnsi"/>
          <w:sz w:val="24"/>
          <w:szCs w:val="24"/>
        </w:rPr>
        <w:t xml:space="preserve">The aforementioned assertion is not something that the </w:t>
      </w:r>
      <w:r w:rsidR="00902709">
        <w:rPr>
          <w:rFonts w:cstheme="minorHAnsi"/>
          <w:sz w:val="24"/>
          <w:szCs w:val="24"/>
        </w:rPr>
        <w:t>Applicant</w:t>
      </w:r>
      <w:r w:rsidR="00C64649" w:rsidRPr="00C64649">
        <w:rPr>
          <w:rFonts w:cstheme="minorHAnsi"/>
          <w:sz w:val="24"/>
          <w:szCs w:val="24"/>
        </w:rPr>
        <w:t xml:space="preserve"> is </w:t>
      </w:r>
      <w:r w:rsidRPr="00C64649">
        <w:rPr>
          <w:rFonts w:cstheme="minorHAnsi"/>
          <w:sz w:val="24"/>
          <w:szCs w:val="24"/>
        </w:rPr>
        <w:t xml:space="preserve">imagining </w:t>
      </w:r>
      <w:r w:rsidR="003953EB">
        <w:rPr>
          <w:rFonts w:cstheme="minorHAnsi"/>
          <w:sz w:val="24"/>
          <w:szCs w:val="24"/>
        </w:rPr>
        <w:t xml:space="preserve">for </w:t>
      </w:r>
      <w:r w:rsidRPr="00C64649">
        <w:rPr>
          <w:rFonts w:cstheme="minorHAnsi"/>
          <w:sz w:val="24"/>
          <w:szCs w:val="24"/>
        </w:rPr>
        <w:t>another platoon member, namely Payne, ackno</w:t>
      </w:r>
      <w:r w:rsidR="009E0C5C">
        <w:rPr>
          <w:rFonts w:cstheme="minorHAnsi"/>
          <w:sz w:val="24"/>
          <w:szCs w:val="24"/>
        </w:rPr>
        <w:t xml:space="preserve">wledges a conversation in which </w:t>
      </w:r>
      <w:r w:rsidRPr="00C64649">
        <w:rPr>
          <w:rFonts w:cstheme="minorHAnsi"/>
          <w:sz w:val="24"/>
          <w:szCs w:val="24"/>
        </w:rPr>
        <w:t xml:space="preserve">the </w:t>
      </w:r>
      <w:r w:rsidR="00902709">
        <w:rPr>
          <w:rFonts w:cstheme="minorHAnsi"/>
          <w:sz w:val="24"/>
          <w:szCs w:val="24"/>
        </w:rPr>
        <w:t>Applicant</w:t>
      </w:r>
      <w:r w:rsidRPr="00C64649">
        <w:rPr>
          <w:rFonts w:cstheme="minorHAnsi"/>
          <w:sz w:val="24"/>
          <w:szCs w:val="24"/>
        </w:rPr>
        <w:t xml:space="preserve"> </w:t>
      </w:r>
      <w:r w:rsidR="003953EB">
        <w:rPr>
          <w:rFonts w:cstheme="minorHAnsi"/>
          <w:sz w:val="24"/>
          <w:szCs w:val="24"/>
        </w:rPr>
        <w:t>said</w:t>
      </w:r>
      <w:r w:rsidRPr="00C64649">
        <w:rPr>
          <w:rFonts w:cstheme="minorHAnsi"/>
          <w:sz w:val="24"/>
          <w:szCs w:val="24"/>
        </w:rPr>
        <w:t xml:space="preserve"> he wanted to see a speech therapist. This is accurately captured in Counsel’s response in item 41. </w:t>
      </w:r>
    </w:p>
    <w:p w:rsidR="005D2778" w:rsidRDefault="005D2778" w:rsidP="003953EB">
      <w:pPr>
        <w:pStyle w:val="ListParagraph"/>
        <w:spacing w:line="240" w:lineRule="auto"/>
        <w:rPr>
          <w:rFonts w:cstheme="minorHAnsi"/>
          <w:sz w:val="24"/>
          <w:szCs w:val="24"/>
        </w:rPr>
      </w:pPr>
    </w:p>
    <w:p w:rsidR="00B85280" w:rsidRPr="00B85280" w:rsidRDefault="00B85280" w:rsidP="003953EB">
      <w:pPr>
        <w:pStyle w:val="ListParagraph"/>
        <w:numPr>
          <w:ilvl w:val="0"/>
          <w:numId w:val="2"/>
        </w:numPr>
        <w:ind w:hanging="720"/>
        <w:rPr>
          <w:rFonts w:cstheme="minorHAnsi"/>
          <w:sz w:val="24"/>
          <w:szCs w:val="24"/>
        </w:rPr>
      </w:pPr>
      <w:r>
        <w:rPr>
          <w:rFonts w:cstheme="minorHAnsi"/>
          <w:sz w:val="24"/>
          <w:szCs w:val="24"/>
        </w:rPr>
        <w:t xml:space="preserve">Hence, it is not just the </w:t>
      </w:r>
      <w:r w:rsidR="00902709">
        <w:rPr>
          <w:rFonts w:cstheme="minorHAnsi"/>
          <w:sz w:val="24"/>
          <w:szCs w:val="24"/>
        </w:rPr>
        <w:t>Applicant</w:t>
      </w:r>
      <w:r>
        <w:rPr>
          <w:rFonts w:cstheme="minorHAnsi"/>
          <w:sz w:val="24"/>
          <w:szCs w:val="24"/>
        </w:rPr>
        <w:t xml:space="preserve">’s coach officer who is talking to him about his accent and documenting it, but another platoon member and mentoring officer is also doing the same. What is common between them is also significant. They are both in positions of authority over the </w:t>
      </w:r>
      <w:r w:rsidR="00902709">
        <w:rPr>
          <w:rFonts w:cstheme="minorHAnsi"/>
          <w:sz w:val="24"/>
          <w:szCs w:val="24"/>
        </w:rPr>
        <w:t>Applicant</w:t>
      </w:r>
      <w:r>
        <w:rPr>
          <w:rFonts w:cstheme="minorHAnsi"/>
          <w:sz w:val="24"/>
          <w:szCs w:val="24"/>
        </w:rPr>
        <w:t xml:space="preserve"> because he was just a probationary recruit. </w:t>
      </w:r>
      <w:r w:rsidR="003C57BD">
        <w:rPr>
          <w:rFonts w:cstheme="minorHAnsi"/>
          <w:sz w:val="24"/>
          <w:szCs w:val="24"/>
        </w:rPr>
        <w:t>Hence t</w:t>
      </w:r>
      <w:r w:rsidR="003953EB">
        <w:rPr>
          <w:rFonts w:cstheme="minorHAnsi"/>
          <w:sz w:val="24"/>
          <w:szCs w:val="24"/>
        </w:rPr>
        <w:t>he Applicant</w:t>
      </w:r>
      <w:r>
        <w:rPr>
          <w:rFonts w:cstheme="minorHAnsi"/>
          <w:sz w:val="24"/>
          <w:szCs w:val="24"/>
        </w:rPr>
        <w:t xml:space="preserve"> </w:t>
      </w:r>
      <w:r w:rsidR="003953EB">
        <w:rPr>
          <w:rFonts w:cstheme="minorHAnsi"/>
          <w:sz w:val="24"/>
          <w:szCs w:val="24"/>
        </w:rPr>
        <w:t xml:space="preserve">was seeking to rid himself of </w:t>
      </w:r>
      <w:r>
        <w:rPr>
          <w:rFonts w:cstheme="minorHAnsi"/>
          <w:sz w:val="24"/>
          <w:szCs w:val="24"/>
        </w:rPr>
        <w:t>something that is part of his heritage a</w:t>
      </w:r>
      <w:r w:rsidR="006E1A0E">
        <w:rPr>
          <w:rFonts w:cstheme="minorHAnsi"/>
          <w:sz w:val="24"/>
          <w:szCs w:val="24"/>
        </w:rPr>
        <w:t xml:space="preserve">nd natural to him because he was </w:t>
      </w:r>
      <w:r>
        <w:rPr>
          <w:rFonts w:cstheme="minorHAnsi"/>
          <w:sz w:val="24"/>
          <w:szCs w:val="24"/>
        </w:rPr>
        <w:t xml:space="preserve">constantly being reminded of it. This is sheer discrimination based on accent which is directly linked to the prohibited grounds. </w:t>
      </w:r>
    </w:p>
    <w:p w:rsidR="00B85280" w:rsidRDefault="00B85280" w:rsidP="006E1A0E">
      <w:pPr>
        <w:pStyle w:val="ListParagraph"/>
        <w:spacing w:line="240" w:lineRule="auto"/>
        <w:rPr>
          <w:rFonts w:cstheme="minorHAnsi"/>
          <w:sz w:val="24"/>
          <w:szCs w:val="24"/>
        </w:rPr>
      </w:pPr>
    </w:p>
    <w:p w:rsidR="005A09F2" w:rsidRPr="005A09F2" w:rsidRDefault="003E1BB2" w:rsidP="00485E68">
      <w:pPr>
        <w:pStyle w:val="ListParagraph"/>
        <w:numPr>
          <w:ilvl w:val="0"/>
          <w:numId w:val="2"/>
        </w:numPr>
        <w:ind w:hanging="720"/>
        <w:rPr>
          <w:rFonts w:cstheme="minorHAnsi"/>
          <w:sz w:val="24"/>
          <w:szCs w:val="24"/>
        </w:rPr>
      </w:pPr>
      <w:r w:rsidRPr="00392B72">
        <w:rPr>
          <w:rFonts w:cstheme="minorHAnsi"/>
          <w:sz w:val="24"/>
          <w:szCs w:val="24"/>
        </w:rPr>
        <w:t>And if the aforementioned wasn’t enough</w:t>
      </w:r>
      <w:r w:rsidR="00FC1FA4">
        <w:rPr>
          <w:rFonts w:cstheme="minorHAnsi"/>
          <w:sz w:val="24"/>
          <w:szCs w:val="24"/>
        </w:rPr>
        <w:t>,</w:t>
      </w:r>
      <w:r w:rsidRPr="00392B72">
        <w:rPr>
          <w:rFonts w:cstheme="minorHAnsi"/>
          <w:sz w:val="24"/>
          <w:szCs w:val="24"/>
        </w:rPr>
        <w:t xml:space="preserve"> a reasonable person has to contend with the lies of Moran in denying telling Jack to “speak with a Canadian accent” </w:t>
      </w:r>
      <w:r>
        <w:rPr>
          <w:rFonts w:cstheme="minorHAnsi"/>
          <w:sz w:val="24"/>
          <w:szCs w:val="24"/>
        </w:rPr>
        <w:t xml:space="preserve">as reflected in item 44 of the Respondent’s response. Filman and Payne obviously had conversations with the </w:t>
      </w:r>
      <w:r w:rsidR="00902709">
        <w:rPr>
          <w:rFonts w:cstheme="minorHAnsi"/>
          <w:sz w:val="24"/>
          <w:szCs w:val="24"/>
        </w:rPr>
        <w:t>Applicant</w:t>
      </w:r>
      <w:r>
        <w:rPr>
          <w:rFonts w:cstheme="minorHAnsi"/>
          <w:sz w:val="24"/>
          <w:szCs w:val="24"/>
        </w:rPr>
        <w:t xml:space="preserve"> about his accent, but Moran is attempting to portray herself as not having any issue or not </w:t>
      </w:r>
      <w:r>
        <w:rPr>
          <w:rFonts w:cstheme="minorHAnsi"/>
          <w:sz w:val="24"/>
          <w:szCs w:val="24"/>
        </w:rPr>
        <w:lastRenderedPageBreak/>
        <w:t>having any discussions with him of his accent.</w:t>
      </w:r>
      <w:r w:rsidR="00485E68" w:rsidRPr="00485E68">
        <w:rPr>
          <w:rStyle w:val="FootnoteReference"/>
          <w:rFonts w:cstheme="minorHAnsi"/>
          <w:sz w:val="24"/>
          <w:szCs w:val="24"/>
        </w:rPr>
        <w:t xml:space="preserve"> </w:t>
      </w:r>
      <w:r w:rsidR="00485E68">
        <w:rPr>
          <w:rStyle w:val="FootnoteReference"/>
          <w:rFonts w:cstheme="minorHAnsi"/>
          <w:sz w:val="24"/>
          <w:szCs w:val="24"/>
        </w:rPr>
        <w:footnoteReference w:id="21"/>
      </w:r>
      <w:r w:rsidR="00485E68">
        <w:rPr>
          <w:rFonts w:cstheme="minorHAnsi"/>
          <w:sz w:val="24"/>
          <w:szCs w:val="24"/>
        </w:rPr>
        <w:t xml:space="preserve"> </w:t>
      </w:r>
      <w:r>
        <w:rPr>
          <w:rFonts w:cstheme="minorHAnsi"/>
          <w:sz w:val="24"/>
          <w:szCs w:val="24"/>
        </w:rPr>
        <w:t xml:space="preserve">What is plain and obvious is that </w:t>
      </w:r>
      <w:r w:rsidR="002D3A95">
        <w:rPr>
          <w:rFonts w:cstheme="minorHAnsi"/>
          <w:sz w:val="24"/>
          <w:szCs w:val="24"/>
        </w:rPr>
        <w:t xml:space="preserve">for one </w:t>
      </w:r>
      <w:r>
        <w:rPr>
          <w:rFonts w:cstheme="minorHAnsi"/>
          <w:sz w:val="24"/>
          <w:szCs w:val="24"/>
        </w:rPr>
        <w:t xml:space="preserve">to acknowledge saying that is to admit to one’s own prejudice. </w:t>
      </w:r>
    </w:p>
    <w:p w:rsidR="005A09F2" w:rsidRPr="005A09F2" w:rsidRDefault="005A09F2" w:rsidP="00485E68">
      <w:pPr>
        <w:pStyle w:val="ListParagraph"/>
        <w:spacing w:line="240" w:lineRule="auto"/>
        <w:rPr>
          <w:rFonts w:cstheme="minorHAnsi"/>
          <w:sz w:val="24"/>
          <w:szCs w:val="24"/>
        </w:rPr>
      </w:pPr>
    </w:p>
    <w:p w:rsidR="005D2778" w:rsidRPr="00185416" w:rsidRDefault="005A09F2" w:rsidP="00C94ECF">
      <w:pPr>
        <w:pStyle w:val="ListParagraph"/>
        <w:numPr>
          <w:ilvl w:val="0"/>
          <w:numId w:val="2"/>
        </w:numPr>
        <w:ind w:hanging="720"/>
        <w:rPr>
          <w:rFonts w:cstheme="minorHAnsi"/>
          <w:sz w:val="24"/>
          <w:szCs w:val="24"/>
        </w:rPr>
      </w:pPr>
      <w:r>
        <w:rPr>
          <w:rFonts w:cstheme="minorHAnsi"/>
          <w:sz w:val="24"/>
          <w:szCs w:val="24"/>
        </w:rPr>
        <w:t>Any reasonable person looking at Moran’s comment can see that it is negative and contrary to the prohibited grounds of the Ontario Human Rights Code (Code). Is it any wonder why Moran denies making such a comment?</w:t>
      </w:r>
    </w:p>
    <w:p w:rsidR="00DD2073" w:rsidRPr="00E907E9" w:rsidRDefault="00DD2073" w:rsidP="00485E68">
      <w:pPr>
        <w:pStyle w:val="ListParagraph"/>
        <w:spacing w:line="240" w:lineRule="auto"/>
        <w:rPr>
          <w:rFonts w:cstheme="minorHAnsi"/>
          <w:sz w:val="24"/>
          <w:szCs w:val="24"/>
        </w:rPr>
      </w:pPr>
    </w:p>
    <w:p w:rsidR="00DD2073" w:rsidRPr="00E907E9" w:rsidRDefault="003C57BD" w:rsidP="00485E68">
      <w:pPr>
        <w:pStyle w:val="ListParagraph"/>
        <w:numPr>
          <w:ilvl w:val="0"/>
          <w:numId w:val="2"/>
        </w:numPr>
        <w:ind w:hanging="720"/>
        <w:rPr>
          <w:rFonts w:cstheme="minorHAnsi"/>
          <w:sz w:val="24"/>
          <w:szCs w:val="24"/>
        </w:rPr>
      </w:pPr>
      <w:r>
        <w:rPr>
          <w:rFonts w:cstheme="minorHAnsi"/>
          <w:sz w:val="24"/>
          <w:szCs w:val="24"/>
        </w:rPr>
        <w:t>In item 42,</w:t>
      </w:r>
      <w:r w:rsidR="00485E68">
        <w:rPr>
          <w:rFonts w:cstheme="minorHAnsi"/>
          <w:sz w:val="24"/>
          <w:szCs w:val="24"/>
        </w:rPr>
        <w:t xml:space="preserve"> </w:t>
      </w:r>
      <w:r w:rsidR="00DD2073">
        <w:rPr>
          <w:rFonts w:cstheme="minorHAnsi"/>
          <w:sz w:val="24"/>
          <w:szCs w:val="24"/>
        </w:rPr>
        <w:t>Counsel</w:t>
      </w:r>
      <w:r w:rsidR="00DD2073" w:rsidRPr="00E907E9">
        <w:rPr>
          <w:rFonts w:cstheme="minorHAnsi"/>
          <w:sz w:val="24"/>
          <w:szCs w:val="24"/>
        </w:rPr>
        <w:t xml:space="preserve"> </w:t>
      </w:r>
      <w:r w:rsidR="00DD2073">
        <w:rPr>
          <w:rFonts w:cstheme="minorHAnsi"/>
          <w:sz w:val="24"/>
          <w:szCs w:val="24"/>
        </w:rPr>
        <w:t xml:space="preserve">first </w:t>
      </w:r>
      <w:r w:rsidR="00DD2073" w:rsidRPr="00E907E9">
        <w:rPr>
          <w:rFonts w:cstheme="minorHAnsi"/>
          <w:sz w:val="24"/>
          <w:szCs w:val="24"/>
        </w:rPr>
        <w:t xml:space="preserve">focuses in on Jack never telling Nie that he felt he was discriminated against at the detachment. </w:t>
      </w:r>
      <w:r w:rsidR="00DD2073">
        <w:rPr>
          <w:rFonts w:cstheme="minorHAnsi"/>
          <w:sz w:val="24"/>
          <w:szCs w:val="24"/>
          <w:lang w:val="en-CA"/>
        </w:rPr>
        <w:t>Though Nie testified that he did</w:t>
      </w:r>
      <w:r w:rsidR="00DD2073" w:rsidRPr="00E907E9">
        <w:rPr>
          <w:rFonts w:cstheme="minorHAnsi"/>
          <w:sz w:val="24"/>
          <w:szCs w:val="24"/>
          <w:lang w:val="en-CA"/>
        </w:rPr>
        <w:t xml:space="preserve"> n</w:t>
      </w:r>
      <w:r w:rsidR="00DD2073">
        <w:rPr>
          <w:rFonts w:cstheme="minorHAnsi"/>
          <w:sz w:val="24"/>
          <w:szCs w:val="24"/>
          <w:lang w:val="en-CA"/>
        </w:rPr>
        <w:t>ot recall Jack telling him he was</w:t>
      </w:r>
      <w:r w:rsidR="00DD2073" w:rsidRPr="00E907E9">
        <w:rPr>
          <w:rFonts w:cstheme="minorHAnsi"/>
          <w:sz w:val="24"/>
          <w:szCs w:val="24"/>
          <w:lang w:val="en-CA"/>
        </w:rPr>
        <w:t xml:space="preserve"> being harassed or discriminated against, Nie testifie</w:t>
      </w:r>
      <w:r w:rsidR="00DD2073">
        <w:rPr>
          <w:rFonts w:cstheme="minorHAnsi"/>
          <w:sz w:val="24"/>
          <w:szCs w:val="24"/>
          <w:lang w:val="en-CA"/>
        </w:rPr>
        <w:t>d</w:t>
      </w:r>
      <w:r w:rsidR="00DD2073" w:rsidRPr="00E907E9">
        <w:rPr>
          <w:rFonts w:cstheme="minorHAnsi"/>
          <w:sz w:val="24"/>
          <w:szCs w:val="24"/>
          <w:lang w:val="en-CA"/>
        </w:rPr>
        <w:t xml:space="preserve"> </w:t>
      </w:r>
      <w:r w:rsidR="00DD2073">
        <w:rPr>
          <w:rFonts w:cstheme="minorHAnsi"/>
          <w:sz w:val="24"/>
          <w:szCs w:val="24"/>
          <w:lang w:val="en-CA"/>
        </w:rPr>
        <w:t>at length</w:t>
      </w:r>
      <w:r w:rsidR="00DD2073" w:rsidRPr="00E907E9">
        <w:rPr>
          <w:rFonts w:cstheme="minorHAnsi"/>
          <w:sz w:val="24"/>
          <w:szCs w:val="24"/>
          <w:lang w:val="en-CA"/>
        </w:rPr>
        <w:t xml:space="preserve"> about </w:t>
      </w:r>
      <w:r w:rsidR="00DD2073">
        <w:rPr>
          <w:rFonts w:cstheme="minorHAnsi"/>
          <w:sz w:val="24"/>
          <w:szCs w:val="24"/>
          <w:lang w:val="en-CA"/>
        </w:rPr>
        <w:t>Jack speaking</w:t>
      </w:r>
      <w:r w:rsidR="00DD2073" w:rsidRPr="00E907E9">
        <w:rPr>
          <w:rFonts w:cstheme="minorHAnsi"/>
          <w:sz w:val="24"/>
          <w:szCs w:val="24"/>
          <w:lang w:val="en-CA"/>
        </w:rPr>
        <w:t xml:space="preserve"> to him about discrimination in general</w:t>
      </w:r>
      <w:r w:rsidR="00DD2073">
        <w:rPr>
          <w:rFonts w:cstheme="minorHAnsi"/>
          <w:sz w:val="24"/>
          <w:szCs w:val="24"/>
          <w:lang w:val="en-CA"/>
        </w:rPr>
        <w:t xml:space="preserve"> and about Canadians being subconsciously biased against people from other countries</w:t>
      </w:r>
      <w:r w:rsidR="00DD2073" w:rsidRPr="00E907E9">
        <w:rPr>
          <w:rFonts w:cstheme="minorHAnsi"/>
          <w:sz w:val="24"/>
          <w:szCs w:val="24"/>
          <w:lang w:val="en-CA"/>
        </w:rPr>
        <w:t>.</w:t>
      </w:r>
      <w:r w:rsidR="00DD2073">
        <w:rPr>
          <w:rStyle w:val="FootnoteReference"/>
          <w:rFonts w:cstheme="minorHAnsi"/>
          <w:sz w:val="24"/>
          <w:szCs w:val="24"/>
          <w:lang w:val="en-CA"/>
        </w:rPr>
        <w:footnoteReference w:id="22"/>
      </w:r>
      <w:r w:rsidR="00DD2073">
        <w:rPr>
          <w:rFonts w:cstheme="minorHAnsi"/>
          <w:sz w:val="24"/>
          <w:szCs w:val="24"/>
          <w:lang w:val="en-CA"/>
        </w:rPr>
        <w:t xml:space="preserve"> Why would such a discussion </w:t>
      </w:r>
      <w:r w:rsidR="00485E68">
        <w:rPr>
          <w:rFonts w:cstheme="minorHAnsi"/>
          <w:sz w:val="24"/>
          <w:szCs w:val="24"/>
          <w:lang w:val="en-CA"/>
        </w:rPr>
        <w:t>take place</w:t>
      </w:r>
      <w:r w:rsidR="00DD2073">
        <w:rPr>
          <w:rFonts w:cstheme="minorHAnsi"/>
          <w:sz w:val="24"/>
          <w:szCs w:val="24"/>
          <w:lang w:val="en-CA"/>
        </w:rPr>
        <w:t xml:space="preserve"> unless it was pertinent to the </w:t>
      </w:r>
      <w:r w:rsidR="00902709">
        <w:rPr>
          <w:rFonts w:cstheme="minorHAnsi"/>
          <w:sz w:val="24"/>
          <w:szCs w:val="24"/>
          <w:lang w:val="en-CA"/>
        </w:rPr>
        <w:t>Applicant</w:t>
      </w:r>
      <w:r w:rsidR="00DD2073">
        <w:rPr>
          <w:rFonts w:cstheme="minorHAnsi"/>
          <w:sz w:val="24"/>
          <w:szCs w:val="24"/>
          <w:lang w:val="en-CA"/>
        </w:rPr>
        <w:t xml:space="preserve">’s predicament? </w:t>
      </w:r>
      <w:r>
        <w:rPr>
          <w:rFonts w:cstheme="minorHAnsi"/>
          <w:sz w:val="24"/>
          <w:szCs w:val="24"/>
          <w:lang w:val="en-CA"/>
        </w:rPr>
        <w:t>Nie did know that Jack was indirectly talking about him.</w:t>
      </w:r>
      <w:r>
        <w:rPr>
          <w:rStyle w:val="FootnoteReference"/>
          <w:rFonts w:cstheme="minorHAnsi"/>
          <w:sz w:val="24"/>
          <w:szCs w:val="24"/>
          <w:lang w:val="en-CA"/>
        </w:rPr>
        <w:footnoteReference w:id="23"/>
      </w:r>
      <w:r>
        <w:rPr>
          <w:rFonts w:cstheme="minorHAnsi"/>
          <w:sz w:val="24"/>
          <w:szCs w:val="24"/>
          <w:lang w:val="en-CA"/>
        </w:rPr>
        <w:t xml:space="preserve"> </w:t>
      </w:r>
      <w:r w:rsidR="00DD2073">
        <w:rPr>
          <w:rFonts w:cstheme="minorHAnsi"/>
          <w:sz w:val="24"/>
          <w:szCs w:val="24"/>
          <w:lang w:val="en-CA"/>
        </w:rPr>
        <w:t xml:space="preserve">How can Counsel </w:t>
      </w:r>
      <w:proofErr w:type="gramStart"/>
      <w:r w:rsidR="00DD2073">
        <w:rPr>
          <w:rFonts w:cstheme="minorHAnsi"/>
          <w:sz w:val="24"/>
          <w:szCs w:val="24"/>
          <w:lang w:val="en-CA"/>
        </w:rPr>
        <w:t>state</w:t>
      </w:r>
      <w:proofErr w:type="gramEnd"/>
      <w:r w:rsidR="00DD2073">
        <w:rPr>
          <w:rFonts w:cstheme="minorHAnsi"/>
          <w:sz w:val="24"/>
          <w:szCs w:val="24"/>
          <w:lang w:val="en-CA"/>
        </w:rPr>
        <w:t xml:space="preserve"> that Jack never told Nie that he felt he was discriminated against when this is exactly what Jack did? </w:t>
      </w:r>
    </w:p>
    <w:p w:rsidR="00DD2073" w:rsidRPr="0010321D" w:rsidRDefault="00DD2073" w:rsidP="00485E68">
      <w:pPr>
        <w:pStyle w:val="ListParagraph"/>
        <w:spacing w:line="240" w:lineRule="auto"/>
        <w:rPr>
          <w:rFonts w:cstheme="minorHAnsi"/>
          <w:sz w:val="24"/>
          <w:szCs w:val="24"/>
        </w:rPr>
      </w:pPr>
    </w:p>
    <w:p w:rsidR="00485E68" w:rsidRDefault="00DD2073" w:rsidP="00485E68">
      <w:pPr>
        <w:pStyle w:val="ListParagraph"/>
        <w:numPr>
          <w:ilvl w:val="0"/>
          <w:numId w:val="2"/>
        </w:numPr>
        <w:ind w:hanging="720"/>
        <w:rPr>
          <w:rFonts w:cstheme="minorHAnsi"/>
          <w:sz w:val="24"/>
          <w:szCs w:val="24"/>
        </w:rPr>
      </w:pPr>
      <w:r>
        <w:rPr>
          <w:rFonts w:cstheme="minorHAnsi"/>
          <w:sz w:val="24"/>
          <w:szCs w:val="24"/>
        </w:rPr>
        <w:t>Next</w:t>
      </w:r>
      <w:r w:rsidR="002D3A95">
        <w:rPr>
          <w:rFonts w:cstheme="minorHAnsi"/>
          <w:sz w:val="24"/>
          <w:szCs w:val="24"/>
        </w:rPr>
        <w:t>,</w:t>
      </w:r>
      <w:r>
        <w:rPr>
          <w:rFonts w:cstheme="minorHAnsi"/>
          <w:sz w:val="24"/>
          <w:szCs w:val="24"/>
        </w:rPr>
        <w:t xml:space="preserve"> in item 42</w:t>
      </w:r>
      <w:r w:rsidR="002D3A95">
        <w:rPr>
          <w:rFonts w:cstheme="minorHAnsi"/>
          <w:sz w:val="24"/>
          <w:szCs w:val="24"/>
        </w:rPr>
        <w:t>,</w:t>
      </w:r>
      <w:r w:rsidRPr="00E907E9">
        <w:rPr>
          <w:rFonts w:cstheme="minorHAnsi"/>
          <w:sz w:val="24"/>
          <w:szCs w:val="24"/>
        </w:rPr>
        <w:t xml:space="preserve"> </w:t>
      </w:r>
      <w:r>
        <w:rPr>
          <w:rFonts w:cstheme="minorHAnsi"/>
          <w:sz w:val="24"/>
          <w:szCs w:val="24"/>
        </w:rPr>
        <w:t>Counsel</w:t>
      </w:r>
      <w:r w:rsidRPr="00E907E9">
        <w:rPr>
          <w:rFonts w:cstheme="minorHAnsi"/>
          <w:sz w:val="24"/>
          <w:szCs w:val="24"/>
        </w:rPr>
        <w:t xml:space="preserve"> focuses</w:t>
      </w:r>
      <w:r>
        <w:rPr>
          <w:rFonts w:cstheme="minorHAnsi"/>
          <w:sz w:val="24"/>
          <w:szCs w:val="24"/>
        </w:rPr>
        <w:t xml:space="preserve"> in on how Nie tried his best to help the </w:t>
      </w:r>
      <w:r w:rsidR="00902709">
        <w:rPr>
          <w:rFonts w:cstheme="minorHAnsi"/>
          <w:sz w:val="24"/>
          <w:szCs w:val="24"/>
        </w:rPr>
        <w:t>Applicant</w:t>
      </w:r>
      <w:r>
        <w:rPr>
          <w:rFonts w:cstheme="minorHAnsi"/>
          <w:sz w:val="24"/>
          <w:szCs w:val="24"/>
        </w:rPr>
        <w:t xml:space="preserve"> succeed in ‘trying to get him hired as a police officer’. Counsel is genuinely mistaken here</w:t>
      </w:r>
      <w:r w:rsidR="00F22EDC">
        <w:rPr>
          <w:rFonts w:cstheme="minorHAnsi"/>
          <w:sz w:val="24"/>
          <w:szCs w:val="24"/>
        </w:rPr>
        <w:t xml:space="preserve"> again</w:t>
      </w:r>
      <w:r>
        <w:rPr>
          <w:rFonts w:cstheme="minorHAnsi"/>
          <w:sz w:val="24"/>
          <w:szCs w:val="24"/>
        </w:rPr>
        <w:t xml:space="preserve">. The </w:t>
      </w:r>
      <w:r w:rsidR="00902709">
        <w:rPr>
          <w:rFonts w:cstheme="minorHAnsi"/>
          <w:sz w:val="24"/>
          <w:szCs w:val="24"/>
        </w:rPr>
        <w:t>Applicant</w:t>
      </w:r>
      <w:r>
        <w:rPr>
          <w:rFonts w:cstheme="minorHAnsi"/>
          <w:sz w:val="24"/>
          <w:szCs w:val="24"/>
        </w:rPr>
        <w:t xml:space="preserve"> was already hired as a police officer</w:t>
      </w:r>
      <w:r w:rsidR="00F22EDC">
        <w:rPr>
          <w:rFonts w:cstheme="minorHAnsi"/>
          <w:sz w:val="24"/>
          <w:szCs w:val="24"/>
        </w:rPr>
        <w:t>,</w:t>
      </w:r>
      <w:r>
        <w:rPr>
          <w:rFonts w:cstheme="minorHAnsi"/>
          <w:sz w:val="24"/>
          <w:szCs w:val="24"/>
        </w:rPr>
        <w:t xml:space="preserve"> but had the desi</w:t>
      </w:r>
      <w:r w:rsidR="005D2778">
        <w:rPr>
          <w:rFonts w:cstheme="minorHAnsi"/>
          <w:sz w:val="24"/>
          <w:szCs w:val="24"/>
        </w:rPr>
        <w:t>gnation of ‘probationary constable</w:t>
      </w:r>
      <w:r>
        <w:rPr>
          <w:rFonts w:cstheme="minorHAnsi"/>
          <w:sz w:val="24"/>
          <w:szCs w:val="24"/>
        </w:rPr>
        <w:t xml:space="preserve">’. A probationary </w:t>
      </w:r>
      <w:r w:rsidR="005D2778">
        <w:rPr>
          <w:rFonts w:cstheme="minorHAnsi"/>
          <w:sz w:val="24"/>
          <w:szCs w:val="24"/>
        </w:rPr>
        <w:t>constable</w:t>
      </w:r>
      <w:r>
        <w:rPr>
          <w:rFonts w:cstheme="minorHAnsi"/>
          <w:sz w:val="24"/>
          <w:szCs w:val="24"/>
        </w:rPr>
        <w:t xml:space="preserve"> is a police officer. However, a probationary </w:t>
      </w:r>
      <w:r w:rsidR="005D2778">
        <w:rPr>
          <w:rFonts w:cstheme="minorHAnsi"/>
          <w:sz w:val="24"/>
          <w:szCs w:val="24"/>
        </w:rPr>
        <w:t>constable</w:t>
      </w:r>
      <w:r>
        <w:rPr>
          <w:rFonts w:cstheme="minorHAnsi"/>
          <w:sz w:val="24"/>
          <w:szCs w:val="24"/>
        </w:rPr>
        <w:t xml:space="preserve"> cannot progress from such a designation to a ‘constable’ until he/she successfully completes his/her probationary period.</w:t>
      </w:r>
    </w:p>
    <w:p w:rsidR="00485E68" w:rsidRPr="00485E68" w:rsidRDefault="00485E68" w:rsidP="00F22EDC">
      <w:pPr>
        <w:pStyle w:val="ListParagraph"/>
        <w:spacing w:line="240" w:lineRule="auto"/>
        <w:rPr>
          <w:rFonts w:cstheme="minorHAnsi"/>
          <w:sz w:val="24"/>
          <w:szCs w:val="24"/>
        </w:rPr>
      </w:pPr>
    </w:p>
    <w:p w:rsidR="002B1E80" w:rsidRPr="00485E68" w:rsidRDefault="00DD2073" w:rsidP="00485E68">
      <w:pPr>
        <w:pStyle w:val="ListParagraph"/>
        <w:numPr>
          <w:ilvl w:val="0"/>
          <w:numId w:val="2"/>
        </w:numPr>
        <w:ind w:hanging="720"/>
        <w:rPr>
          <w:rFonts w:cstheme="minorHAnsi"/>
          <w:sz w:val="24"/>
          <w:szCs w:val="24"/>
        </w:rPr>
      </w:pPr>
      <w:r w:rsidRPr="00485E68">
        <w:rPr>
          <w:rFonts w:cstheme="minorHAnsi"/>
          <w:sz w:val="24"/>
          <w:szCs w:val="24"/>
        </w:rPr>
        <w:t>Counsel’s lack of insight does not diminish the fact that Counsel is still manipulating the truth. Kohen’s testimony was that a Point Form Chronology (PFC)</w:t>
      </w:r>
      <w:r w:rsidR="002B1E80">
        <w:rPr>
          <w:rStyle w:val="FootnoteReference"/>
          <w:rFonts w:cstheme="minorHAnsi"/>
          <w:sz w:val="24"/>
          <w:szCs w:val="24"/>
        </w:rPr>
        <w:footnoteReference w:id="24"/>
      </w:r>
      <w:r w:rsidRPr="00485E68">
        <w:rPr>
          <w:rFonts w:cstheme="minorHAnsi"/>
          <w:sz w:val="24"/>
          <w:szCs w:val="24"/>
        </w:rPr>
        <w:t xml:space="preserve"> document is used for one that is anticipated to be terminated as opposed to be</w:t>
      </w:r>
      <w:r w:rsidR="002D3A95" w:rsidRPr="00485E68">
        <w:rPr>
          <w:rFonts w:cstheme="minorHAnsi"/>
          <w:sz w:val="24"/>
          <w:szCs w:val="24"/>
        </w:rPr>
        <w:t>ing</w:t>
      </w:r>
      <w:r w:rsidRPr="00485E68">
        <w:rPr>
          <w:rFonts w:cstheme="minorHAnsi"/>
          <w:sz w:val="24"/>
          <w:szCs w:val="24"/>
        </w:rPr>
        <w:t xml:space="preserve"> hired as a constable.</w:t>
      </w:r>
      <w:r>
        <w:rPr>
          <w:rStyle w:val="FootnoteReference"/>
          <w:rFonts w:cstheme="minorHAnsi"/>
          <w:sz w:val="24"/>
          <w:szCs w:val="24"/>
        </w:rPr>
        <w:footnoteReference w:id="25"/>
      </w:r>
      <w:r w:rsidRPr="00485E68">
        <w:rPr>
          <w:rFonts w:cstheme="minorHAnsi"/>
          <w:sz w:val="24"/>
          <w:szCs w:val="24"/>
        </w:rPr>
        <w:t xml:space="preserve"> It is this PFC that Kohen took into account when compiling </w:t>
      </w:r>
      <w:r w:rsidR="002D3A95" w:rsidRPr="00485E68">
        <w:rPr>
          <w:rFonts w:cstheme="minorHAnsi"/>
          <w:sz w:val="24"/>
          <w:szCs w:val="24"/>
        </w:rPr>
        <w:t xml:space="preserve">the </w:t>
      </w:r>
      <w:r w:rsidRPr="00485E68">
        <w:rPr>
          <w:rFonts w:cstheme="minorHAnsi"/>
          <w:sz w:val="24"/>
          <w:szCs w:val="24"/>
        </w:rPr>
        <w:t>Internal Briefing Report</w:t>
      </w:r>
      <w:r>
        <w:rPr>
          <w:rStyle w:val="FootnoteReference"/>
          <w:rFonts w:cstheme="minorHAnsi"/>
          <w:sz w:val="24"/>
          <w:szCs w:val="24"/>
        </w:rPr>
        <w:footnoteReference w:id="26"/>
      </w:r>
      <w:r w:rsidRPr="00485E68">
        <w:rPr>
          <w:rFonts w:cstheme="minorHAnsi"/>
          <w:sz w:val="24"/>
          <w:szCs w:val="24"/>
        </w:rPr>
        <w:t xml:space="preserve"> to the provincial commanders recommending the dismissal of the </w:t>
      </w:r>
      <w:r w:rsidR="00902709" w:rsidRPr="00485E68">
        <w:rPr>
          <w:rFonts w:cstheme="minorHAnsi"/>
          <w:sz w:val="24"/>
          <w:szCs w:val="24"/>
        </w:rPr>
        <w:t>Applicant</w:t>
      </w:r>
      <w:r w:rsidRPr="00485E68">
        <w:rPr>
          <w:rFonts w:cstheme="minorHAnsi"/>
          <w:sz w:val="24"/>
          <w:szCs w:val="24"/>
        </w:rPr>
        <w:t xml:space="preserve"> from employment, which Chief Superintendent Armstrong subsequently took into account.</w:t>
      </w:r>
      <w:r>
        <w:rPr>
          <w:rStyle w:val="FootnoteReference"/>
          <w:rFonts w:cstheme="minorHAnsi"/>
          <w:sz w:val="24"/>
          <w:szCs w:val="24"/>
        </w:rPr>
        <w:footnoteReference w:id="27"/>
      </w:r>
      <w:r w:rsidRPr="00485E68">
        <w:rPr>
          <w:rFonts w:cstheme="minorHAnsi"/>
          <w:sz w:val="24"/>
          <w:szCs w:val="24"/>
        </w:rPr>
        <w:t xml:space="preserve"> </w:t>
      </w:r>
      <w:proofErr w:type="spellStart"/>
      <w:r w:rsidRPr="00485E68">
        <w:rPr>
          <w:rFonts w:cstheme="minorHAnsi"/>
          <w:sz w:val="24"/>
          <w:szCs w:val="24"/>
        </w:rPr>
        <w:t>Nie’s</w:t>
      </w:r>
      <w:proofErr w:type="spellEnd"/>
      <w:r w:rsidRPr="00485E68">
        <w:rPr>
          <w:rFonts w:cstheme="minorHAnsi"/>
          <w:sz w:val="24"/>
          <w:szCs w:val="24"/>
        </w:rPr>
        <w:t xml:space="preserve"> testimony revealed that he coached 7 recruits including </w:t>
      </w:r>
      <w:r w:rsidR="005D2778" w:rsidRPr="00485E68">
        <w:rPr>
          <w:rFonts w:cstheme="minorHAnsi"/>
          <w:sz w:val="24"/>
          <w:szCs w:val="24"/>
        </w:rPr>
        <w:t xml:space="preserve">the </w:t>
      </w:r>
      <w:r w:rsidR="00902709" w:rsidRPr="00485E68">
        <w:rPr>
          <w:rFonts w:cstheme="minorHAnsi"/>
          <w:sz w:val="24"/>
          <w:szCs w:val="24"/>
        </w:rPr>
        <w:t>Applicant</w:t>
      </w:r>
      <w:r w:rsidRPr="00485E68">
        <w:rPr>
          <w:rFonts w:cstheme="minorHAnsi"/>
          <w:sz w:val="24"/>
          <w:szCs w:val="24"/>
        </w:rPr>
        <w:t xml:space="preserve">. Nie only created and maintained PFCs on two recruits who were terminated from employment during their probationary period. Those two were Harry Allen Chase and </w:t>
      </w:r>
      <w:r w:rsidR="005D2778" w:rsidRPr="00485E68">
        <w:rPr>
          <w:rFonts w:cstheme="minorHAnsi"/>
          <w:sz w:val="24"/>
          <w:szCs w:val="24"/>
        </w:rPr>
        <w:t xml:space="preserve">the </w:t>
      </w:r>
      <w:r w:rsidR="00902709" w:rsidRPr="00485E68">
        <w:rPr>
          <w:rFonts w:cstheme="minorHAnsi"/>
          <w:sz w:val="24"/>
          <w:szCs w:val="24"/>
        </w:rPr>
        <w:t>Applicant</w:t>
      </w:r>
      <w:r w:rsidRPr="00485E68">
        <w:rPr>
          <w:rFonts w:cstheme="minorHAnsi"/>
          <w:sz w:val="24"/>
          <w:szCs w:val="24"/>
        </w:rPr>
        <w:t xml:space="preserve">. Nie also acknowledged that he began his PFC on </w:t>
      </w:r>
      <w:r w:rsidR="005D2778" w:rsidRPr="00485E68">
        <w:rPr>
          <w:rFonts w:cstheme="minorHAnsi"/>
          <w:sz w:val="24"/>
          <w:szCs w:val="24"/>
        </w:rPr>
        <w:t xml:space="preserve">the </w:t>
      </w:r>
      <w:r w:rsidR="00902709" w:rsidRPr="00485E68">
        <w:rPr>
          <w:rFonts w:cstheme="minorHAnsi"/>
          <w:sz w:val="24"/>
          <w:szCs w:val="24"/>
        </w:rPr>
        <w:t>Applicant</w:t>
      </w:r>
      <w:r w:rsidRPr="00485E68">
        <w:rPr>
          <w:rFonts w:cstheme="minorHAnsi"/>
          <w:sz w:val="24"/>
          <w:szCs w:val="24"/>
        </w:rPr>
        <w:t xml:space="preserve"> from day one of his coaching of him.</w:t>
      </w:r>
      <w:r>
        <w:rPr>
          <w:rStyle w:val="FootnoteReference"/>
          <w:rFonts w:cstheme="minorHAnsi"/>
          <w:sz w:val="24"/>
          <w:szCs w:val="24"/>
        </w:rPr>
        <w:footnoteReference w:id="28"/>
      </w:r>
    </w:p>
    <w:p w:rsidR="00DD2073" w:rsidRPr="002B1E80" w:rsidRDefault="00DD2073" w:rsidP="00C94ECF">
      <w:pPr>
        <w:pStyle w:val="ListParagraph"/>
        <w:numPr>
          <w:ilvl w:val="0"/>
          <w:numId w:val="2"/>
        </w:numPr>
        <w:ind w:hanging="720"/>
        <w:rPr>
          <w:rFonts w:cstheme="minorHAnsi"/>
          <w:sz w:val="24"/>
          <w:szCs w:val="24"/>
        </w:rPr>
      </w:pPr>
      <w:r w:rsidRPr="002B1E80">
        <w:rPr>
          <w:rFonts w:cstheme="minorHAnsi"/>
          <w:sz w:val="24"/>
          <w:szCs w:val="24"/>
        </w:rPr>
        <w:lastRenderedPageBreak/>
        <w:t xml:space="preserve">Again a simple and glaring observation can be made by any person viewing these facts from the transcripts – the </w:t>
      </w:r>
      <w:r w:rsidR="00902709">
        <w:rPr>
          <w:rFonts w:cstheme="minorHAnsi"/>
          <w:sz w:val="24"/>
          <w:szCs w:val="24"/>
        </w:rPr>
        <w:t>Applicant</w:t>
      </w:r>
      <w:r w:rsidRPr="002B1E80">
        <w:rPr>
          <w:rFonts w:cstheme="minorHAnsi"/>
          <w:sz w:val="24"/>
          <w:szCs w:val="24"/>
        </w:rPr>
        <w:t xml:space="preserve"> was marked for termination from day one of his probationary period under the coaching of Nie.</w:t>
      </w:r>
    </w:p>
    <w:p w:rsidR="00DD2073" w:rsidRPr="00766D4B" w:rsidRDefault="00DD2073" w:rsidP="00C94ECF">
      <w:pPr>
        <w:pStyle w:val="ListParagraph"/>
        <w:rPr>
          <w:rFonts w:cstheme="minorHAnsi"/>
          <w:sz w:val="24"/>
          <w:szCs w:val="24"/>
        </w:rPr>
      </w:pPr>
    </w:p>
    <w:p w:rsidR="00E3057E" w:rsidRPr="00E3057E" w:rsidRDefault="00DD2073" w:rsidP="00E3057E">
      <w:pPr>
        <w:pStyle w:val="ListParagraph"/>
        <w:numPr>
          <w:ilvl w:val="0"/>
          <w:numId w:val="2"/>
        </w:numPr>
        <w:ind w:hanging="720"/>
        <w:rPr>
          <w:rFonts w:cstheme="minorHAnsi"/>
          <w:sz w:val="24"/>
          <w:szCs w:val="24"/>
        </w:rPr>
      </w:pPr>
      <w:r w:rsidRPr="00956B52">
        <w:rPr>
          <w:rFonts w:cstheme="minorHAnsi"/>
          <w:sz w:val="24"/>
          <w:szCs w:val="24"/>
        </w:rPr>
        <w:t xml:space="preserve">Nie also seems to have a very good memory of what things the </w:t>
      </w:r>
      <w:r w:rsidR="00902709">
        <w:rPr>
          <w:rFonts w:cstheme="minorHAnsi"/>
          <w:sz w:val="24"/>
          <w:szCs w:val="24"/>
        </w:rPr>
        <w:t>Applicant</w:t>
      </w:r>
      <w:r w:rsidRPr="00956B52">
        <w:rPr>
          <w:rFonts w:cstheme="minorHAnsi"/>
          <w:sz w:val="24"/>
          <w:szCs w:val="24"/>
        </w:rPr>
        <w:t xml:space="preserve"> told him (considering the lapse of 7 years), things that would not be damaging to the Respondent’s position. Yet things </w:t>
      </w:r>
      <w:proofErr w:type="gramStart"/>
      <w:r w:rsidRPr="00956B52">
        <w:rPr>
          <w:rFonts w:cstheme="minorHAnsi"/>
          <w:sz w:val="24"/>
          <w:szCs w:val="24"/>
        </w:rPr>
        <w:t xml:space="preserve">that </w:t>
      </w:r>
      <w:r w:rsidR="003C57BD">
        <w:rPr>
          <w:rFonts w:cstheme="minorHAnsi"/>
          <w:sz w:val="24"/>
          <w:szCs w:val="24"/>
        </w:rPr>
        <w:t>were</w:t>
      </w:r>
      <w:proofErr w:type="gramEnd"/>
      <w:r w:rsidRPr="00956B52">
        <w:rPr>
          <w:rFonts w:cstheme="minorHAnsi"/>
          <w:sz w:val="24"/>
          <w:szCs w:val="24"/>
        </w:rPr>
        <w:t xml:space="preserve"> damaging like how the </w:t>
      </w:r>
      <w:r w:rsidR="00902709">
        <w:rPr>
          <w:rFonts w:cstheme="minorHAnsi"/>
          <w:sz w:val="24"/>
          <w:szCs w:val="24"/>
        </w:rPr>
        <w:t>Applicant</w:t>
      </w:r>
      <w:r w:rsidRPr="00956B52">
        <w:rPr>
          <w:rFonts w:cstheme="minorHAnsi"/>
          <w:sz w:val="24"/>
          <w:szCs w:val="24"/>
        </w:rPr>
        <w:t xml:space="preserve"> felt oppressed by the discrimination and targeting, how the </w:t>
      </w:r>
      <w:r w:rsidR="00902709">
        <w:rPr>
          <w:rFonts w:cstheme="minorHAnsi"/>
          <w:sz w:val="24"/>
          <w:szCs w:val="24"/>
        </w:rPr>
        <w:t>Applicant</w:t>
      </w:r>
      <w:r w:rsidRPr="00956B52">
        <w:rPr>
          <w:rFonts w:cstheme="minorHAnsi"/>
          <w:sz w:val="24"/>
          <w:szCs w:val="24"/>
        </w:rPr>
        <w:t xml:space="preserve"> cried in the cruiser and how he begged Nie to ease off his pressure around</w:t>
      </w:r>
      <w:r w:rsidR="00D93732">
        <w:rPr>
          <w:rFonts w:cstheme="minorHAnsi"/>
          <w:sz w:val="24"/>
          <w:szCs w:val="24"/>
        </w:rPr>
        <w:t xml:space="preserve"> his </w:t>
      </w:r>
      <w:r w:rsidRPr="00956B52">
        <w:rPr>
          <w:rFonts w:cstheme="minorHAnsi"/>
          <w:sz w:val="24"/>
          <w:szCs w:val="24"/>
        </w:rPr>
        <w:t>throat</w:t>
      </w:r>
      <w:r w:rsidR="003C57BD">
        <w:rPr>
          <w:rFonts w:cstheme="minorHAnsi"/>
          <w:sz w:val="24"/>
          <w:szCs w:val="24"/>
        </w:rPr>
        <w:t>,</w:t>
      </w:r>
      <w:r w:rsidRPr="00956B52">
        <w:rPr>
          <w:rFonts w:cstheme="minorHAnsi"/>
          <w:sz w:val="24"/>
          <w:szCs w:val="24"/>
        </w:rPr>
        <w:t xml:space="preserve"> Nie conveniently had no recollection of. However, Nie did testify at length </w:t>
      </w:r>
      <w:r w:rsidR="002D3A95">
        <w:rPr>
          <w:rFonts w:cstheme="minorHAnsi"/>
          <w:sz w:val="24"/>
          <w:szCs w:val="24"/>
        </w:rPr>
        <w:t xml:space="preserve">about </w:t>
      </w:r>
      <w:r w:rsidRPr="00956B52">
        <w:rPr>
          <w:rFonts w:cstheme="minorHAnsi"/>
          <w:sz w:val="24"/>
          <w:szCs w:val="24"/>
        </w:rPr>
        <w:t xml:space="preserve">how </w:t>
      </w:r>
      <w:r w:rsidR="00D93732">
        <w:rPr>
          <w:rFonts w:cstheme="minorHAnsi"/>
          <w:sz w:val="24"/>
          <w:szCs w:val="24"/>
        </w:rPr>
        <w:t>Jack</w:t>
      </w:r>
      <w:r w:rsidRPr="00956B52">
        <w:rPr>
          <w:rFonts w:cstheme="minorHAnsi"/>
          <w:sz w:val="24"/>
          <w:szCs w:val="24"/>
        </w:rPr>
        <w:t xml:space="preserve"> felt he was documenting his every move, how Jack was intimidated by him, how Jack was under pressure with h</w:t>
      </w:r>
      <w:r>
        <w:rPr>
          <w:rFonts w:cstheme="minorHAnsi"/>
          <w:sz w:val="24"/>
          <w:szCs w:val="24"/>
        </w:rPr>
        <w:t>im</w:t>
      </w:r>
      <w:r w:rsidRPr="00956B52">
        <w:rPr>
          <w:rFonts w:cstheme="minorHAnsi"/>
          <w:sz w:val="24"/>
          <w:szCs w:val="24"/>
        </w:rPr>
        <w:t>.</w:t>
      </w:r>
      <w:r>
        <w:rPr>
          <w:rStyle w:val="FootnoteReference"/>
          <w:rFonts w:cstheme="minorHAnsi"/>
          <w:sz w:val="24"/>
          <w:szCs w:val="24"/>
        </w:rPr>
        <w:footnoteReference w:id="29"/>
      </w:r>
      <w:r w:rsidRPr="00956B52">
        <w:rPr>
          <w:rFonts w:cstheme="minorHAnsi"/>
          <w:sz w:val="24"/>
          <w:szCs w:val="24"/>
        </w:rPr>
        <w:t xml:space="preserve"> One can draw a conclusion that if all those things did take place it is only reasonable to deduce that Jack indeed begged Nie to ease off his pressure and Jack indeed cried </w:t>
      </w:r>
      <w:r>
        <w:rPr>
          <w:rFonts w:cstheme="minorHAnsi"/>
          <w:sz w:val="24"/>
          <w:szCs w:val="24"/>
        </w:rPr>
        <w:t xml:space="preserve">in </w:t>
      </w:r>
      <w:proofErr w:type="spellStart"/>
      <w:r>
        <w:rPr>
          <w:rFonts w:cstheme="minorHAnsi"/>
          <w:sz w:val="24"/>
          <w:szCs w:val="24"/>
        </w:rPr>
        <w:t>Nie’s</w:t>
      </w:r>
      <w:proofErr w:type="spellEnd"/>
      <w:r>
        <w:rPr>
          <w:rFonts w:cstheme="minorHAnsi"/>
          <w:sz w:val="24"/>
          <w:szCs w:val="24"/>
        </w:rPr>
        <w:t xml:space="preserve"> presence</w:t>
      </w:r>
      <w:r w:rsidRPr="00956B52">
        <w:rPr>
          <w:rFonts w:cstheme="minorHAnsi"/>
          <w:sz w:val="24"/>
          <w:szCs w:val="24"/>
        </w:rPr>
        <w:t>.</w:t>
      </w:r>
    </w:p>
    <w:p w:rsidR="00E3057E" w:rsidRPr="00E3057E" w:rsidRDefault="00E3057E" w:rsidP="00E3057E">
      <w:pPr>
        <w:pStyle w:val="ListParagraph"/>
        <w:spacing w:line="240" w:lineRule="auto"/>
        <w:rPr>
          <w:rFonts w:cstheme="minorHAnsi"/>
          <w:sz w:val="24"/>
          <w:szCs w:val="24"/>
        </w:rPr>
      </w:pPr>
    </w:p>
    <w:p w:rsidR="00955E74" w:rsidRDefault="00955E74" w:rsidP="00C94ECF">
      <w:pPr>
        <w:pStyle w:val="ListParagraph"/>
        <w:numPr>
          <w:ilvl w:val="0"/>
          <w:numId w:val="2"/>
        </w:numPr>
        <w:ind w:hanging="720"/>
        <w:rPr>
          <w:rFonts w:cstheme="minorHAnsi"/>
          <w:sz w:val="24"/>
          <w:szCs w:val="24"/>
        </w:rPr>
      </w:pPr>
      <w:r>
        <w:rPr>
          <w:rFonts w:cstheme="minorHAnsi"/>
          <w:sz w:val="24"/>
          <w:szCs w:val="24"/>
        </w:rPr>
        <w:t>With respect to the second half of item 44 t</w:t>
      </w:r>
      <w:r w:rsidRPr="0093022F">
        <w:rPr>
          <w:rFonts w:cstheme="minorHAnsi"/>
          <w:sz w:val="24"/>
          <w:szCs w:val="24"/>
        </w:rPr>
        <w:t xml:space="preserve">here is not a single shred of evidence neither in Moran’s witness summary nor in her </w:t>
      </w:r>
      <w:r>
        <w:rPr>
          <w:rFonts w:cstheme="minorHAnsi"/>
          <w:sz w:val="24"/>
          <w:szCs w:val="24"/>
        </w:rPr>
        <w:t xml:space="preserve">entire </w:t>
      </w:r>
      <w:r w:rsidRPr="0093022F">
        <w:rPr>
          <w:rFonts w:cstheme="minorHAnsi"/>
          <w:sz w:val="24"/>
          <w:szCs w:val="24"/>
        </w:rPr>
        <w:t>testimony</w:t>
      </w:r>
      <w:r>
        <w:rPr>
          <w:rStyle w:val="FootnoteReference"/>
          <w:rFonts w:cstheme="minorHAnsi"/>
          <w:sz w:val="24"/>
          <w:szCs w:val="24"/>
        </w:rPr>
        <w:footnoteReference w:id="30"/>
      </w:r>
      <w:r w:rsidRPr="0093022F">
        <w:rPr>
          <w:rFonts w:cstheme="minorHAnsi"/>
          <w:sz w:val="24"/>
          <w:szCs w:val="24"/>
        </w:rPr>
        <w:t xml:space="preserve"> that she advised Jack not use a recording device. There is </w:t>
      </w:r>
      <w:r>
        <w:rPr>
          <w:rFonts w:cstheme="minorHAnsi"/>
          <w:sz w:val="24"/>
          <w:szCs w:val="24"/>
        </w:rPr>
        <w:t xml:space="preserve">also </w:t>
      </w:r>
      <w:r w:rsidRPr="0093022F">
        <w:rPr>
          <w:rFonts w:cstheme="minorHAnsi"/>
          <w:sz w:val="24"/>
          <w:szCs w:val="24"/>
        </w:rPr>
        <w:t xml:space="preserve">not a single shred of evidence neither in Moran’s witness summary nor in her </w:t>
      </w:r>
      <w:r>
        <w:rPr>
          <w:rFonts w:cstheme="minorHAnsi"/>
          <w:sz w:val="24"/>
          <w:szCs w:val="24"/>
        </w:rPr>
        <w:t xml:space="preserve">entire </w:t>
      </w:r>
      <w:r w:rsidRPr="0093022F">
        <w:rPr>
          <w:rFonts w:cstheme="minorHAnsi"/>
          <w:sz w:val="24"/>
          <w:szCs w:val="24"/>
        </w:rPr>
        <w:t>testimony that she wanted Jack to succee</w:t>
      </w:r>
      <w:r>
        <w:rPr>
          <w:rFonts w:cstheme="minorHAnsi"/>
          <w:sz w:val="24"/>
          <w:szCs w:val="24"/>
        </w:rPr>
        <w:t>d.</w:t>
      </w:r>
      <w:r>
        <w:rPr>
          <w:rStyle w:val="FootnoteReference"/>
          <w:rFonts w:cstheme="minorHAnsi"/>
          <w:sz w:val="24"/>
          <w:szCs w:val="24"/>
        </w:rPr>
        <w:footnoteReference w:id="31"/>
      </w:r>
      <w:r>
        <w:rPr>
          <w:rFonts w:cstheme="minorHAnsi"/>
          <w:sz w:val="24"/>
          <w:szCs w:val="24"/>
        </w:rPr>
        <w:t xml:space="preserve"> Why is Counsel</w:t>
      </w:r>
      <w:r w:rsidRPr="0093022F">
        <w:rPr>
          <w:rFonts w:cstheme="minorHAnsi"/>
          <w:sz w:val="24"/>
          <w:szCs w:val="24"/>
        </w:rPr>
        <w:t xml:space="preserve"> twisting the facts?</w:t>
      </w:r>
    </w:p>
    <w:p w:rsidR="00955E74" w:rsidRPr="00955E74" w:rsidRDefault="00955E74" w:rsidP="00E3057E">
      <w:pPr>
        <w:pStyle w:val="ListParagraph"/>
        <w:spacing w:line="240" w:lineRule="auto"/>
        <w:rPr>
          <w:rFonts w:cstheme="minorHAnsi"/>
          <w:sz w:val="24"/>
          <w:szCs w:val="24"/>
        </w:rPr>
      </w:pPr>
    </w:p>
    <w:p w:rsidR="00BE40A8" w:rsidRDefault="00551918" w:rsidP="00E3057E">
      <w:pPr>
        <w:pStyle w:val="ListParagraph"/>
        <w:numPr>
          <w:ilvl w:val="0"/>
          <w:numId w:val="2"/>
        </w:numPr>
        <w:ind w:hanging="720"/>
        <w:rPr>
          <w:rFonts w:cstheme="minorHAnsi"/>
          <w:sz w:val="24"/>
          <w:szCs w:val="24"/>
        </w:rPr>
      </w:pPr>
      <w:r w:rsidRPr="00955E74">
        <w:rPr>
          <w:rFonts w:cstheme="minorHAnsi"/>
          <w:sz w:val="24"/>
          <w:szCs w:val="24"/>
        </w:rPr>
        <w:t>With respect to item 55</w:t>
      </w:r>
      <w:r w:rsidR="00742769">
        <w:rPr>
          <w:rFonts w:cstheme="minorHAnsi"/>
          <w:sz w:val="24"/>
          <w:szCs w:val="24"/>
        </w:rPr>
        <w:t>,</w:t>
      </w:r>
      <w:r w:rsidRPr="00955E74">
        <w:rPr>
          <w:rFonts w:cstheme="minorHAnsi"/>
          <w:sz w:val="24"/>
          <w:szCs w:val="24"/>
        </w:rPr>
        <w:t xml:space="preserve"> w</w:t>
      </w:r>
      <w:r w:rsidR="00DD2073" w:rsidRPr="00955E74">
        <w:rPr>
          <w:rFonts w:cstheme="minorHAnsi"/>
          <w:sz w:val="24"/>
          <w:szCs w:val="24"/>
        </w:rPr>
        <w:t xml:space="preserve">ho </w:t>
      </w:r>
      <w:r w:rsidR="002D3A95">
        <w:rPr>
          <w:rFonts w:cstheme="minorHAnsi"/>
          <w:sz w:val="24"/>
          <w:szCs w:val="24"/>
        </w:rPr>
        <w:t xml:space="preserve">were those other officers? Can </w:t>
      </w:r>
      <w:r w:rsidR="00DD2073" w:rsidRPr="00955E74">
        <w:rPr>
          <w:rFonts w:cstheme="minorHAnsi"/>
          <w:sz w:val="24"/>
          <w:szCs w:val="24"/>
        </w:rPr>
        <w:t xml:space="preserve">Counsel be even vaguer? Is one realistically expecting the police witnesses to testify truthfully about what they did to the </w:t>
      </w:r>
      <w:r w:rsidR="00902709">
        <w:rPr>
          <w:rFonts w:cstheme="minorHAnsi"/>
          <w:sz w:val="24"/>
          <w:szCs w:val="24"/>
        </w:rPr>
        <w:t>Applicant</w:t>
      </w:r>
      <w:r w:rsidR="00DD2073" w:rsidRPr="00955E74">
        <w:rPr>
          <w:rFonts w:cstheme="minorHAnsi"/>
          <w:sz w:val="24"/>
          <w:szCs w:val="24"/>
        </w:rPr>
        <w:t xml:space="preserve"> during his time with them at Peterborough Detachment?  The only just course of action is to go by factual documentary evidence. He says, she says in this case</w:t>
      </w:r>
      <w:r w:rsidR="000D15A5">
        <w:rPr>
          <w:rFonts w:cstheme="minorHAnsi"/>
          <w:sz w:val="24"/>
          <w:szCs w:val="24"/>
        </w:rPr>
        <w:t xml:space="preserve"> do not amount to much. But a few well-established </w:t>
      </w:r>
      <w:r w:rsidR="00DD2073" w:rsidRPr="00955E74">
        <w:rPr>
          <w:rFonts w:cstheme="minorHAnsi"/>
          <w:sz w:val="24"/>
          <w:szCs w:val="24"/>
        </w:rPr>
        <w:t xml:space="preserve">facts </w:t>
      </w:r>
      <w:r w:rsidR="000D15A5">
        <w:rPr>
          <w:rFonts w:cstheme="minorHAnsi"/>
          <w:sz w:val="24"/>
          <w:szCs w:val="24"/>
        </w:rPr>
        <w:t xml:space="preserve">do, </w:t>
      </w:r>
      <w:r w:rsidR="00E3057E">
        <w:rPr>
          <w:rFonts w:cstheme="minorHAnsi"/>
          <w:sz w:val="24"/>
          <w:szCs w:val="24"/>
        </w:rPr>
        <w:t xml:space="preserve">which </w:t>
      </w:r>
      <w:r w:rsidR="002D3A95">
        <w:rPr>
          <w:rFonts w:cstheme="minorHAnsi"/>
          <w:sz w:val="24"/>
          <w:szCs w:val="24"/>
        </w:rPr>
        <w:t>are</w:t>
      </w:r>
      <w:r w:rsidR="000D15A5">
        <w:rPr>
          <w:rFonts w:cstheme="minorHAnsi"/>
          <w:sz w:val="24"/>
          <w:szCs w:val="24"/>
        </w:rPr>
        <w:t>: b</w:t>
      </w:r>
      <w:r w:rsidR="00DD2073" w:rsidRPr="00955E74">
        <w:rPr>
          <w:rFonts w:cstheme="minorHAnsi"/>
          <w:sz w:val="24"/>
          <w:szCs w:val="24"/>
        </w:rPr>
        <w:t>aseless allegations of killing people, tardiness of PERs, copy-paste entries in PERs that are even out of time frame, fabricat</w:t>
      </w:r>
      <w:r w:rsidR="002738BD">
        <w:rPr>
          <w:rFonts w:cstheme="minorHAnsi"/>
          <w:sz w:val="24"/>
          <w:szCs w:val="24"/>
        </w:rPr>
        <w:t xml:space="preserve">ions in PERs, </w:t>
      </w:r>
      <w:r w:rsidR="00E3057E">
        <w:rPr>
          <w:rFonts w:cstheme="minorHAnsi"/>
          <w:sz w:val="24"/>
          <w:szCs w:val="24"/>
        </w:rPr>
        <w:t xml:space="preserve">lack of mandatory PER meetings, </w:t>
      </w:r>
      <w:r w:rsidR="002738BD">
        <w:rPr>
          <w:rFonts w:cstheme="minorHAnsi"/>
          <w:sz w:val="24"/>
          <w:szCs w:val="24"/>
        </w:rPr>
        <w:t xml:space="preserve">false HTA charge, </w:t>
      </w:r>
      <w:r w:rsidR="00DD2073" w:rsidRPr="00955E74">
        <w:rPr>
          <w:rFonts w:cstheme="minorHAnsi"/>
          <w:sz w:val="24"/>
          <w:szCs w:val="24"/>
        </w:rPr>
        <w:t>unsu</w:t>
      </w:r>
      <w:r w:rsidR="00E3057E">
        <w:rPr>
          <w:rFonts w:cstheme="minorHAnsi"/>
          <w:sz w:val="24"/>
          <w:szCs w:val="24"/>
        </w:rPr>
        <w:t xml:space="preserve">bstantiated internal complaint, </w:t>
      </w:r>
      <w:proofErr w:type="gramStart"/>
      <w:r w:rsidR="000D15A5" w:rsidRPr="00955E74">
        <w:rPr>
          <w:rFonts w:cstheme="minorHAnsi"/>
          <w:sz w:val="24"/>
          <w:szCs w:val="24"/>
        </w:rPr>
        <w:t>lack</w:t>
      </w:r>
      <w:proofErr w:type="gramEnd"/>
      <w:r w:rsidR="00DD2073" w:rsidRPr="00955E74">
        <w:rPr>
          <w:rFonts w:cstheme="minorHAnsi"/>
          <w:sz w:val="24"/>
          <w:szCs w:val="24"/>
        </w:rPr>
        <w:t xml:space="preserve"> of </w:t>
      </w:r>
      <w:r w:rsidR="000D15A5">
        <w:rPr>
          <w:rFonts w:cstheme="minorHAnsi"/>
          <w:sz w:val="24"/>
          <w:szCs w:val="24"/>
        </w:rPr>
        <w:t xml:space="preserve">formal </w:t>
      </w:r>
      <w:r w:rsidR="00DD2073" w:rsidRPr="00955E74">
        <w:rPr>
          <w:rFonts w:cstheme="minorHAnsi"/>
          <w:sz w:val="24"/>
          <w:szCs w:val="24"/>
        </w:rPr>
        <w:t>positive commendations</w:t>
      </w:r>
      <w:r w:rsidR="004D1EA3" w:rsidRPr="00955E74">
        <w:rPr>
          <w:rFonts w:cstheme="minorHAnsi"/>
          <w:sz w:val="24"/>
          <w:szCs w:val="24"/>
        </w:rPr>
        <w:t xml:space="preserve"> when situations and deeds warranted so</w:t>
      </w:r>
      <w:r w:rsidR="00DD2073" w:rsidRPr="00955E74">
        <w:rPr>
          <w:rFonts w:cstheme="minorHAnsi"/>
          <w:sz w:val="24"/>
          <w:szCs w:val="24"/>
        </w:rPr>
        <w:t>.</w:t>
      </w:r>
    </w:p>
    <w:p w:rsidR="00BE40A8" w:rsidRDefault="00BE40A8" w:rsidP="00E3057E">
      <w:pPr>
        <w:pStyle w:val="ListParagraph"/>
        <w:spacing w:line="240" w:lineRule="auto"/>
        <w:rPr>
          <w:rFonts w:cstheme="minorHAnsi"/>
          <w:sz w:val="24"/>
          <w:szCs w:val="24"/>
        </w:rPr>
      </w:pPr>
    </w:p>
    <w:p w:rsidR="008A760B" w:rsidRPr="00905DDE" w:rsidRDefault="008A760B" w:rsidP="00E3057E">
      <w:pPr>
        <w:pStyle w:val="ListParagraph"/>
        <w:numPr>
          <w:ilvl w:val="0"/>
          <w:numId w:val="2"/>
        </w:numPr>
        <w:ind w:hanging="720"/>
        <w:rPr>
          <w:rFonts w:cstheme="minorHAnsi"/>
          <w:sz w:val="24"/>
          <w:szCs w:val="24"/>
        </w:rPr>
      </w:pPr>
      <w:r w:rsidRPr="00905DDE">
        <w:rPr>
          <w:rFonts w:cstheme="minorHAnsi"/>
          <w:sz w:val="24"/>
          <w:szCs w:val="24"/>
        </w:rPr>
        <w:t>Filman’s testimony in item 56 was from his entries in the PFC.</w:t>
      </w:r>
      <w:r>
        <w:rPr>
          <w:rStyle w:val="FootnoteReference"/>
          <w:rFonts w:cstheme="minorHAnsi"/>
          <w:sz w:val="24"/>
          <w:szCs w:val="24"/>
        </w:rPr>
        <w:footnoteReference w:id="32"/>
      </w:r>
      <w:r w:rsidRPr="00905DDE">
        <w:rPr>
          <w:rFonts w:cstheme="minorHAnsi"/>
          <w:sz w:val="24"/>
          <w:szCs w:val="24"/>
        </w:rPr>
        <w:t xml:space="preserve"> However, there is factual documentary evidence that both Filman and Jack were off duty on the day of this allegation – March 7, 2009.</w:t>
      </w:r>
      <w:r w:rsidRPr="00905DDE">
        <w:rPr>
          <w:rStyle w:val="FootnoteReference"/>
          <w:rFonts w:cstheme="minorHAnsi"/>
          <w:sz w:val="24"/>
          <w:szCs w:val="24"/>
        </w:rPr>
        <w:t xml:space="preserve"> </w:t>
      </w:r>
      <w:r>
        <w:rPr>
          <w:rStyle w:val="FootnoteReference"/>
          <w:rFonts w:cstheme="minorHAnsi"/>
          <w:sz w:val="24"/>
          <w:szCs w:val="24"/>
        </w:rPr>
        <w:footnoteReference w:id="33"/>
      </w:r>
      <w:r w:rsidRPr="00905DDE">
        <w:rPr>
          <w:rFonts w:cstheme="minorHAnsi"/>
          <w:sz w:val="24"/>
          <w:szCs w:val="24"/>
        </w:rPr>
        <w:t xml:space="preserve"> So how could Jack have possibly said anything to Filman when neither of them worked on that day? This statement is another manipulation of facts by </w:t>
      </w:r>
      <w:r w:rsidR="002D3A95">
        <w:rPr>
          <w:rFonts w:cstheme="minorHAnsi"/>
          <w:sz w:val="24"/>
          <w:szCs w:val="24"/>
        </w:rPr>
        <w:t xml:space="preserve">the </w:t>
      </w:r>
      <w:r>
        <w:rPr>
          <w:rFonts w:cstheme="minorHAnsi"/>
          <w:sz w:val="24"/>
          <w:szCs w:val="24"/>
        </w:rPr>
        <w:t>Respondent</w:t>
      </w:r>
      <w:r w:rsidRPr="00905DDE">
        <w:rPr>
          <w:rFonts w:cstheme="minorHAnsi"/>
          <w:sz w:val="24"/>
          <w:szCs w:val="24"/>
        </w:rPr>
        <w:t>.</w:t>
      </w:r>
    </w:p>
    <w:p w:rsidR="008A760B" w:rsidRDefault="008A760B" w:rsidP="00E3057E">
      <w:pPr>
        <w:pStyle w:val="ListParagraph"/>
        <w:spacing w:line="240" w:lineRule="auto"/>
        <w:rPr>
          <w:rFonts w:cstheme="minorHAnsi"/>
          <w:sz w:val="24"/>
          <w:szCs w:val="24"/>
        </w:rPr>
      </w:pPr>
    </w:p>
    <w:p w:rsidR="007A462E" w:rsidRDefault="008A760B" w:rsidP="00EC51FB">
      <w:pPr>
        <w:pStyle w:val="ListParagraph"/>
        <w:numPr>
          <w:ilvl w:val="0"/>
          <w:numId w:val="2"/>
        </w:numPr>
        <w:ind w:hanging="720"/>
        <w:rPr>
          <w:rFonts w:cstheme="minorHAnsi"/>
          <w:sz w:val="24"/>
          <w:szCs w:val="24"/>
        </w:rPr>
      </w:pPr>
      <w:r>
        <w:rPr>
          <w:rFonts w:cstheme="minorHAnsi"/>
          <w:sz w:val="24"/>
          <w:szCs w:val="24"/>
        </w:rPr>
        <w:lastRenderedPageBreak/>
        <w:t>With respect to item 61, then</w:t>
      </w:r>
      <w:r w:rsidR="00EC51FB">
        <w:rPr>
          <w:rFonts w:cstheme="minorHAnsi"/>
          <w:sz w:val="24"/>
          <w:szCs w:val="24"/>
        </w:rPr>
        <w:t xml:space="preserve"> </w:t>
      </w:r>
      <w:r>
        <w:rPr>
          <w:rFonts w:cstheme="minorHAnsi"/>
          <w:sz w:val="24"/>
          <w:szCs w:val="24"/>
        </w:rPr>
        <w:t xml:space="preserve">if </w:t>
      </w:r>
      <w:r w:rsidRPr="0093022F">
        <w:rPr>
          <w:rFonts w:cstheme="minorHAnsi"/>
          <w:sz w:val="24"/>
          <w:szCs w:val="24"/>
        </w:rPr>
        <w:t xml:space="preserve">only </w:t>
      </w:r>
      <w:r>
        <w:rPr>
          <w:rFonts w:cstheme="minorHAnsi"/>
          <w:sz w:val="24"/>
          <w:szCs w:val="24"/>
        </w:rPr>
        <w:t>J</w:t>
      </w:r>
      <w:r w:rsidRPr="0093022F">
        <w:rPr>
          <w:rFonts w:cstheme="minorHAnsi"/>
          <w:sz w:val="24"/>
          <w:szCs w:val="24"/>
        </w:rPr>
        <w:t>ack’s PER</w:t>
      </w:r>
      <w:r>
        <w:rPr>
          <w:rFonts w:cstheme="minorHAnsi"/>
          <w:sz w:val="24"/>
          <w:szCs w:val="24"/>
        </w:rPr>
        <w:t>s</w:t>
      </w:r>
      <w:r w:rsidRPr="0093022F">
        <w:rPr>
          <w:rFonts w:cstheme="minorHAnsi"/>
          <w:sz w:val="24"/>
          <w:szCs w:val="24"/>
        </w:rPr>
        <w:t xml:space="preserve"> </w:t>
      </w:r>
      <w:r>
        <w:rPr>
          <w:rFonts w:cstheme="minorHAnsi"/>
          <w:sz w:val="24"/>
          <w:szCs w:val="24"/>
        </w:rPr>
        <w:t xml:space="preserve">were chronically overdue </w:t>
      </w:r>
      <w:r w:rsidRPr="0093022F">
        <w:rPr>
          <w:rFonts w:cstheme="minorHAnsi"/>
          <w:sz w:val="24"/>
          <w:szCs w:val="24"/>
        </w:rPr>
        <w:t>out of all the recruits at the detachment</w:t>
      </w:r>
      <w:r>
        <w:rPr>
          <w:rStyle w:val="FootnoteReference"/>
          <w:rFonts w:cstheme="minorHAnsi"/>
          <w:sz w:val="24"/>
          <w:szCs w:val="24"/>
        </w:rPr>
        <w:footnoteReference w:id="34"/>
      </w:r>
      <w:r>
        <w:rPr>
          <w:rFonts w:cstheme="minorHAnsi"/>
          <w:sz w:val="24"/>
          <w:szCs w:val="24"/>
        </w:rPr>
        <w:t xml:space="preserve"> </w:t>
      </w:r>
      <w:r w:rsidRPr="0093022F">
        <w:rPr>
          <w:rFonts w:cstheme="minorHAnsi"/>
          <w:sz w:val="24"/>
          <w:szCs w:val="24"/>
        </w:rPr>
        <w:t xml:space="preserve">how is that </w:t>
      </w:r>
      <w:r w:rsidR="00EC51FB">
        <w:rPr>
          <w:rFonts w:cstheme="minorHAnsi"/>
          <w:sz w:val="24"/>
          <w:szCs w:val="24"/>
        </w:rPr>
        <w:t>not</w:t>
      </w:r>
      <w:r w:rsidRPr="0093022F">
        <w:rPr>
          <w:rFonts w:cstheme="minorHAnsi"/>
          <w:sz w:val="24"/>
          <w:szCs w:val="24"/>
        </w:rPr>
        <w:t xml:space="preserve"> an indication of</w:t>
      </w:r>
      <w:r>
        <w:rPr>
          <w:rFonts w:cstheme="minorHAnsi"/>
          <w:sz w:val="24"/>
          <w:szCs w:val="24"/>
        </w:rPr>
        <w:t xml:space="preserve"> differential treatment?</w:t>
      </w:r>
    </w:p>
    <w:p w:rsidR="007A462E" w:rsidRPr="007A462E" w:rsidRDefault="007A462E" w:rsidP="00EC51FB">
      <w:pPr>
        <w:pStyle w:val="ListParagraph"/>
        <w:spacing w:line="240" w:lineRule="auto"/>
        <w:rPr>
          <w:rFonts w:cstheme="minorHAnsi"/>
          <w:sz w:val="24"/>
          <w:szCs w:val="24"/>
          <w:lang w:val="en-CA"/>
        </w:rPr>
      </w:pPr>
    </w:p>
    <w:p w:rsidR="007A462E" w:rsidRPr="007A462E" w:rsidRDefault="008A760B" w:rsidP="00C94ECF">
      <w:pPr>
        <w:pStyle w:val="ListParagraph"/>
        <w:numPr>
          <w:ilvl w:val="0"/>
          <w:numId w:val="2"/>
        </w:numPr>
        <w:ind w:hanging="720"/>
        <w:rPr>
          <w:rFonts w:cstheme="minorHAnsi"/>
          <w:sz w:val="24"/>
          <w:szCs w:val="24"/>
        </w:rPr>
      </w:pPr>
      <w:r w:rsidRPr="007A462E">
        <w:rPr>
          <w:rFonts w:cstheme="minorHAnsi"/>
          <w:sz w:val="24"/>
          <w:szCs w:val="24"/>
          <w:lang w:val="en-CA"/>
        </w:rPr>
        <w:t>With respect to item 67, Constable Payne can disagree all she wants. The documentary evidence states otherwise. Jack worked more shifts than other officers on his platoon</w:t>
      </w:r>
      <w:r>
        <w:rPr>
          <w:rStyle w:val="FootnoteReference"/>
          <w:rFonts w:cstheme="minorHAnsi"/>
          <w:sz w:val="24"/>
          <w:szCs w:val="24"/>
          <w:lang w:val="en-CA"/>
        </w:rPr>
        <w:footnoteReference w:id="35"/>
      </w:r>
      <w:r w:rsidRPr="007A462E">
        <w:rPr>
          <w:rFonts w:cstheme="minorHAnsi"/>
          <w:sz w:val="24"/>
          <w:szCs w:val="24"/>
          <w:lang w:val="en-CA"/>
        </w:rPr>
        <w:t xml:space="preserve"> and was assigned and handled more calls for service</w:t>
      </w:r>
      <w:r>
        <w:rPr>
          <w:rStyle w:val="FootnoteReference"/>
          <w:rFonts w:cstheme="minorHAnsi"/>
          <w:sz w:val="24"/>
          <w:szCs w:val="24"/>
          <w:lang w:val="en-CA"/>
        </w:rPr>
        <w:footnoteReference w:id="36"/>
      </w:r>
      <w:r w:rsidRPr="007A462E">
        <w:rPr>
          <w:rFonts w:cstheme="minorHAnsi"/>
          <w:sz w:val="24"/>
          <w:szCs w:val="24"/>
          <w:lang w:val="en-CA"/>
        </w:rPr>
        <w:t xml:space="preserve"> than his coach officer Constable Filman</w:t>
      </w:r>
      <w:r>
        <w:rPr>
          <w:rStyle w:val="FootnoteReference"/>
          <w:rFonts w:cstheme="minorHAnsi"/>
          <w:sz w:val="24"/>
          <w:szCs w:val="24"/>
          <w:lang w:val="en-CA"/>
        </w:rPr>
        <w:footnoteReference w:id="37"/>
      </w:r>
      <w:r w:rsidRPr="007A462E">
        <w:rPr>
          <w:rFonts w:cstheme="minorHAnsi"/>
          <w:sz w:val="24"/>
          <w:szCs w:val="24"/>
          <w:lang w:val="en-CA"/>
        </w:rPr>
        <w:t xml:space="preserve"> and his “go-to” person Constable Payne.</w:t>
      </w:r>
      <w:r>
        <w:rPr>
          <w:rStyle w:val="FootnoteReference"/>
          <w:rFonts w:cstheme="minorHAnsi"/>
          <w:sz w:val="24"/>
          <w:szCs w:val="24"/>
          <w:lang w:val="en-CA"/>
        </w:rPr>
        <w:footnoteReference w:id="38"/>
      </w:r>
    </w:p>
    <w:p w:rsidR="007A462E" w:rsidRPr="007A462E" w:rsidRDefault="007A462E" w:rsidP="00EC51FB">
      <w:pPr>
        <w:pStyle w:val="ListParagraph"/>
        <w:spacing w:line="240" w:lineRule="auto"/>
        <w:rPr>
          <w:rFonts w:cstheme="minorHAnsi"/>
          <w:sz w:val="24"/>
          <w:szCs w:val="24"/>
          <w:lang w:val="en-CA"/>
        </w:rPr>
      </w:pPr>
    </w:p>
    <w:p w:rsidR="00E609A4" w:rsidRPr="00E609A4" w:rsidRDefault="002728EB" w:rsidP="00C94ECF">
      <w:pPr>
        <w:pStyle w:val="ListParagraph"/>
        <w:numPr>
          <w:ilvl w:val="0"/>
          <w:numId w:val="2"/>
        </w:numPr>
        <w:ind w:hanging="720"/>
        <w:rPr>
          <w:rFonts w:cstheme="minorHAnsi"/>
          <w:sz w:val="24"/>
          <w:szCs w:val="24"/>
        </w:rPr>
      </w:pPr>
      <w:r w:rsidRPr="007A462E">
        <w:rPr>
          <w:rFonts w:cstheme="minorHAnsi"/>
          <w:sz w:val="24"/>
          <w:szCs w:val="24"/>
          <w:lang w:val="en-CA"/>
        </w:rPr>
        <w:t>With respect to item 68</w:t>
      </w:r>
      <w:r w:rsidR="002D3A95">
        <w:rPr>
          <w:rFonts w:cstheme="minorHAnsi"/>
          <w:sz w:val="24"/>
          <w:szCs w:val="24"/>
          <w:lang w:val="en-CA"/>
        </w:rPr>
        <w:t>,</w:t>
      </w:r>
      <w:r w:rsidRPr="007A462E">
        <w:rPr>
          <w:rFonts w:cstheme="minorHAnsi"/>
          <w:sz w:val="24"/>
          <w:szCs w:val="24"/>
          <w:lang w:val="en-CA"/>
        </w:rPr>
        <w:t xml:space="preserve"> i</w:t>
      </w:r>
      <w:r w:rsidR="0038477C" w:rsidRPr="007A462E">
        <w:rPr>
          <w:rFonts w:cstheme="minorHAnsi"/>
          <w:sz w:val="24"/>
          <w:szCs w:val="24"/>
          <w:lang w:val="en-CA"/>
        </w:rPr>
        <w:t>f Filman</w:t>
      </w:r>
      <w:r w:rsidR="00D157DC" w:rsidRPr="007A462E">
        <w:rPr>
          <w:rFonts w:cstheme="minorHAnsi"/>
          <w:sz w:val="24"/>
          <w:szCs w:val="24"/>
          <w:lang w:val="en-CA"/>
        </w:rPr>
        <w:t xml:space="preserve"> found the process </w:t>
      </w:r>
      <w:r w:rsidR="0038477C" w:rsidRPr="007A462E">
        <w:rPr>
          <w:rFonts w:cstheme="minorHAnsi"/>
          <w:sz w:val="24"/>
          <w:szCs w:val="24"/>
          <w:lang w:val="en-CA"/>
        </w:rPr>
        <w:t>of completing PERs o</w:t>
      </w:r>
      <w:r w:rsidR="00D157DC" w:rsidRPr="007A462E">
        <w:rPr>
          <w:rFonts w:cstheme="minorHAnsi"/>
          <w:sz w:val="24"/>
          <w:szCs w:val="24"/>
          <w:lang w:val="en-CA"/>
        </w:rPr>
        <w:t xml:space="preserve">nerous, then he should not have been selected to be Jack’s coach officer in the first place. </w:t>
      </w:r>
      <w:r w:rsidR="0038477C" w:rsidRPr="007A462E">
        <w:rPr>
          <w:rFonts w:cstheme="minorHAnsi"/>
          <w:sz w:val="24"/>
          <w:szCs w:val="24"/>
          <w:lang w:val="en-CA"/>
        </w:rPr>
        <w:t>It was Filman’s dir</w:t>
      </w:r>
      <w:r w:rsidR="00912B84" w:rsidRPr="007A462E">
        <w:rPr>
          <w:rFonts w:cstheme="minorHAnsi"/>
          <w:sz w:val="24"/>
          <w:szCs w:val="24"/>
          <w:lang w:val="en-CA"/>
        </w:rPr>
        <w:t>ect responsibility to complete Jack’s PER in a timely and professional manner</w:t>
      </w:r>
      <w:r w:rsidR="0038477C" w:rsidRPr="007A462E">
        <w:rPr>
          <w:rFonts w:cstheme="minorHAnsi"/>
          <w:sz w:val="24"/>
          <w:szCs w:val="24"/>
          <w:lang w:val="en-CA"/>
        </w:rPr>
        <w:t xml:space="preserve">. </w:t>
      </w:r>
      <w:r w:rsidR="00D157DC" w:rsidRPr="007A462E">
        <w:rPr>
          <w:rFonts w:cstheme="minorHAnsi"/>
          <w:sz w:val="24"/>
          <w:szCs w:val="24"/>
          <w:lang w:val="en-CA"/>
        </w:rPr>
        <w:t xml:space="preserve">Why is Jack to suffer the consequences of Filman’s pure neglect of duty? </w:t>
      </w:r>
      <w:r w:rsidR="00775C7C" w:rsidRPr="007A462E">
        <w:rPr>
          <w:rFonts w:cstheme="minorHAnsi"/>
          <w:sz w:val="24"/>
          <w:szCs w:val="24"/>
          <w:lang w:val="en-CA"/>
        </w:rPr>
        <w:t>While Filman denies directing Jack to lay unsubstantiated charges, it is a fact that the charges were dismissed. While both Flindall and Campbell testified that they never had concerns with Filman’s coaching of Jack, why was there a need to assign another officer to mentor Jack?</w:t>
      </w:r>
      <w:r w:rsidR="0038477C" w:rsidRPr="007A462E">
        <w:rPr>
          <w:rFonts w:cstheme="minorHAnsi"/>
          <w:sz w:val="24"/>
          <w:szCs w:val="24"/>
          <w:lang w:val="en-CA"/>
        </w:rPr>
        <w:t xml:space="preserve"> </w:t>
      </w:r>
      <w:r w:rsidR="00775C7C" w:rsidRPr="007A462E">
        <w:rPr>
          <w:rFonts w:cstheme="minorHAnsi"/>
          <w:sz w:val="24"/>
          <w:szCs w:val="24"/>
          <w:lang w:val="en-CA"/>
        </w:rPr>
        <w:t xml:space="preserve">Why </w:t>
      </w:r>
      <w:r w:rsidR="009C4383" w:rsidRPr="007A462E">
        <w:rPr>
          <w:rFonts w:cstheme="minorHAnsi"/>
          <w:sz w:val="24"/>
          <w:szCs w:val="24"/>
          <w:lang w:val="en-CA"/>
        </w:rPr>
        <w:t>did</w:t>
      </w:r>
      <w:r w:rsidR="00775C7C" w:rsidRPr="007A462E">
        <w:rPr>
          <w:rFonts w:cstheme="minorHAnsi"/>
          <w:sz w:val="24"/>
          <w:szCs w:val="24"/>
          <w:lang w:val="en-CA"/>
        </w:rPr>
        <w:t xml:space="preserve"> Campbell and Johnston fe</w:t>
      </w:r>
      <w:r w:rsidR="009C4383" w:rsidRPr="007A462E">
        <w:rPr>
          <w:rFonts w:cstheme="minorHAnsi"/>
          <w:sz w:val="24"/>
          <w:szCs w:val="24"/>
          <w:lang w:val="en-CA"/>
        </w:rPr>
        <w:t>el</w:t>
      </w:r>
      <w:r w:rsidR="00775C7C" w:rsidRPr="007A462E">
        <w:rPr>
          <w:rFonts w:cstheme="minorHAnsi"/>
          <w:sz w:val="24"/>
          <w:szCs w:val="24"/>
          <w:lang w:val="en-CA"/>
        </w:rPr>
        <w:t xml:space="preserve"> Jack was being targete</w:t>
      </w:r>
      <w:r w:rsidR="0038477C" w:rsidRPr="007A462E">
        <w:rPr>
          <w:rFonts w:cstheme="minorHAnsi"/>
          <w:sz w:val="24"/>
          <w:szCs w:val="24"/>
          <w:lang w:val="en-CA"/>
        </w:rPr>
        <w:t xml:space="preserve">d? Why was there a need to move </w:t>
      </w:r>
      <w:r w:rsidR="00775C7C" w:rsidRPr="007A462E">
        <w:rPr>
          <w:rFonts w:cstheme="minorHAnsi"/>
          <w:sz w:val="24"/>
          <w:szCs w:val="24"/>
          <w:lang w:val="en-CA"/>
        </w:rPr>
        <w:t xml:space="preserve">Jack to a shadow platoon as far away </w:t>
      </w:r>
      <w:r w:rsidR="00AF1BBF">
        <w:rPr>
          <w:rFonts w:cstheme="minorHAnsi"/>
          <w:sz w:val="24"/>
          <w:szCs w:val="24"/>
          <w:lang w:val="en-CA"/>
        </w:rPr>
        <w:t xml:space="preserve">as possible </w:t>
      </w:r>
      <w:r w:rsidR="00775C7C" w:rsidRPr="007A462E">
        <w:rPr>
          <w:rFonts w:cstheme="minorHAnsi"/>
          <w:sz w:val="24"/>
          <w:szCs w:val="24"/>
          <w:lang w:val="en-CA"/>
        </w:rPr>
        <w:t>from Flindall</w:t>
      </w:r>
      <w:r w:rsidR="00EC51FB">
        <w:rPr>
          <w:rFonts w:cstheme="minorHAnsi"/>
          <w:sz w:val="24"/>
          <w:szCs w:val="24"/>
          <w:lang w:val="en-CA"/>
        </w:rPr>
        <w:t xml:space="preserve">, Filman, </w:t>
      </w:r>
      <w:r w:rsidR="00385355" w:rsidRPr="007A462E">
        <w:rPr>
          <w:rFonts w:cstheme="minorHAnsi"/>
          <w:sz w:val="24"/>
          <w:szCs w:val="24"/>
          <w:lang w:val="en-CA"/>
        </w:rPr>
        <w:t>Payne</w:t>
      </w:r>
      <w:r w:rsidR="00EC51FB">
        <w:rPr>
          <w:rFonts w:cstheme="minorHAnsi"/>
          <w:sz w:val="24"/>
          <w:szCs w:val="24"/>
          <w:lang w:val="en-CA"/>
        </w:rPr>
        <w:t xml:space="preserve"> and Flindall’s brother-in-law Sgt. Banbury</w:t>
      </w:r>
      <w:r w:rsidR="00912B84" w:rsidRPr="007A462E">
        <w:rPr>
          <w:rFonts w:cstheme="minorHAnsi"/>
          <w:sz w:val="24"/>
          <w:szCs w:val="24"/>
          <w:lang w:val="en-CA"/>
        </w:rPr>
        <w:t>?</w:t>
      </w:r>
    </w:p>
    <w:p w:rsidR="00E609A4" w:rsidRPr="00E609A4" w:rsidRDefault="00E609A4" w:rsidP="00EC51FB">
      <w:pPr>
        <w:pStyle w:val="ListParagraph"/>
        <w:spacing w:line="240" w:lineRule="auto"/>
        <w:rPr>
          <w:rFonts w:cstheme="minorHAnsi"/>
          <w:sz w:val="24"/>
          <w:szCs w:val="24"/>
          <w:lang w:val="en-CA"/>
        </w:rPr>
      </w:pPr>
    </w:p>
    <w:p w:rsidR="00E609A4" w:rsidRPr="00E609A4" w:rsidRDefault="002728EB" w:rsidP="00F970A1">
      <w:pPr>
        <w:pStyle w:val="ListParagraph"/>
        <w:numPr>
          <w:ilvl w:val="0"/>
          <w:numId w:val="2"/>
        </w:numPr>
        <w:ind w:hanging="720"/>
        <w:rPr>
          <w:rFonts w:cstheme="minorHAnsi"/>
          <w:sz w:val="24"/>
          <w:szCs w:val="24"/>
        </w:rPr>
      </w:pPr>
      <w:r w:rsidRPr="00E609A4">
        <w:rPr>
          <w:rFonts w:cstheme="minorHAnsi"/>
          <w:sz w:val="24"/>
          <w:szCs w:val="24"/>
          <w:lang w:val="en-CA"/>
        </w:rPr>
        <w:t>With respect to item 69</w:t>
      </w:r>
      <w:r w:rsidR="00AF1BBF">
        <w:rPr>
          <w:rFonts w:cstheme="minorHAnsi"/>
          <w:sz w:val="24"/>
          <w:szCs w:val="24"/>
          <w:lang w:val="en-CA"/>
        </w:rPr>
        <w:t>,</w:t>
      </w:r>
      <w:r w:rsidRPr="00E609A4">
        <w:rPr>
          <w:rFonts w:cstheme="minorHAnsi"/>
          <w:sz w:val="24"/>
          <w:szCs w:val="24"/>
          <w:lang w:val="en-CA"/>
        </w:rPr>
        <w:t xml:space="preserve"> t</w:t>
      </w:r>
      <w:r w:rsidR="00486AEF" w:rsidRPr="00E609A4">
        <w:rPr>
          <w:rFonts w:cstheme="minorHAnsi"/>
          <w:sz w:val="24"/>
          <w:szCs w:val="24"/>
          <w:lang w:val="en-CA"/>
        </w:rPr>
        <w:t xml:space="preserve">his ground is valid and it is the </w:t>
      </w:r>
      <w:r w:rsidR="00902709">
        <w:rPr>
          <w:rFonts w:cstheme="minorHAnsi"/>
          <w:sz w:val="24"/>
          <w:szCs w:val="24"/>
          <w:lang w:val="en-CA"/>
        </w:rPr>
        <w:t>Applicant</w:t>
      </w:r>
      <w:r w:rsidR="00486AEF" w:rsidRPr="00E609A4">
        <w:rPr>
          <w:rFonts w:cstheme="minorHAnsi"/>
          <w:sz w:val="24"/>
          <w:szCs w:val="24"/>
          <w:lang w:val="en-CA"/>
        </w:rPr>
        <w:t>’s position that this ground is supported by documentary evidence and b</w:t>
      </w:r>
      <w:r w:rsidR="00AF1BBF">
        <w:rPr>
          <w:rFonts w:cstheme="minorHAnsi"/>
          <w:sz w:val="24"/>
          <w:szCs w:val="24"/>
          <w:lang w:val="en-CA"/>
        </w:rPr>
        <w:t>y witnesses’ testimony. As for</w:t>
      </w:r>
      <w:r w:rsidR="00486AEF" w:rsidRPr="00E609A4">
        <w:rPr>
          <w:rFonts w:cstheme="minorHAnsi"/>
          <w:sz w:val="24"/>
          <w:szCs w:val="24"/>
          <w:lang w:val="en-CA"/>
        </w:rPr>
        <w:t xml:space="preserve"> </w:t>
      </w:r>
      <w:r w:rsidR="00CB0151" w:rsidRPr="00E609A4">
        <w:rPr>
          <w:rFonts w:cstheme="minorHAnsi"/>
          <w:sz w:val="24"/>
          <w:szCs w:val="24"/>
          <w:lang w:val="en-CA"/>
        </w:rPr>
        <w:t>Counsel</w:t>
      </w:r>
      <w:r w:rsidR="00486AEF" w:rsidRPr="00E609A4">
        <w:rPr>
          <w:rFonts w:cstheme="minorHAnsi"/>
          <w:sz w:val="24"/>
          <w:szCs w:val="24"/>
          <w:lang w:val="en-CA"/>
        </w:rPr>
        <w:t xml:space="preserve">’s assertion that ‘it must fail’, </w:t>
      </w:r>
      <w:r w:rsidR="009C4383" w:rsidRPr="00E609A4">
        <w:rPr>
          <w:rFonts w:cstheme="minorHAnsi"/>
          <w:sz w:val="24"/>
          <w:szCs w:val="24"/>
          <w:lang w:val="en-CA"/>
        </w:rPr>
        <w:t xml:space="preserve">it is </w:t>
      </w:r>
      <w:r w:rsidR="00486AEF" w:rsidRPr="00E609A4">
        <w:rPr>
          <w:rFonts w:cstheme="minorHAnsi"/>
          <w:sz w:val="24"/>
          <w:szCs w:val="24"/>
          <w:lang w:val="en-CA"/>
        </w:rPr>
        <w:t xml:space="preserve">the </w:t>
      </w:r>
      <w:r w:rsidR="00902709">
        <w:rPr>
          <w:rFonts w:cstheme="minorHAnsi"/>
          <w:sz w:val="24"/>
          <w:szCs w:val="24"/>
          <w:lang w:val="en-CA"/>
        </w:rPr>
        <w:t>Applicant</w:t>
      </w:r>
      <w:r w:rsidR="00486AEF" w:rsidRPr="00E609A4">
        <w:rPr>
          <w:rFonts w:cstheme="minorHAnsi"/>
          <w:sz w:val="24"/>
          <w:szCs w:val="24"/>
          <w:lang w:val="en-CA"/>
        </w:rPr>
        <w:t xml:space="preserve"> </w:t>
      </w:r>
      <w:r w:rsidR="009C4383" w:rsidRPr="00E609A4">
        <w:rPr>
          <w:rFonts w:cstheme="minorHAnsi"/>
          <w:sz w:val="24"/>
          <w:szCs w:val="24"/>
          <w:lang w:val="en-CA"/>
        </w:rPr>
        <w:t xml:space="preserve">position that </w:t>
      </w:r>
      <w:r w:rsidR="00EC51FB">
        <w:rPr>
          <w:rFonts w:cstheme="minorHAnsi"/>
          <w:sz w:val="24"/>
          <w:szCs w:val="24"/>
          <w:lang w:val="en-CA"/>
        </w:rPr>
        <w:t xml:space="preserve">it is </w:t>
      </w:r>
      <w:r w:rsidR="005E5311">
        <w:rPr>
          <w:rFonts w:cstheme="minorHAnsi"/>
          <w:sz w:val="24"/>
          <w:szCs w:val="24"/>
          <w:lang w:val="en-CA"/>
        </w:rPr>
        <w:t>Mr.</w:t>
      </w:r>
      <w:r w:rsidR="00EC51FB">
        <w:rPr>
          <w:rFonts w:cstheme="minorHAnsi"/>
          <w:sz w:val="24"/>
          <w:szCs w:val="24"/>
          <w:lang w:val="en-CA"/>
        </w:rPr>
        <w:t xml:space="preserve"> Vice Chair </w:t>
      </w:r>
      <w:r w:rsidR="00486AEF" w:rsidRPr="00E609A4">
        <w:rPr>
          <w:rFonts w:cstheme="minorHAnsi"/>
          <w:sz w:val="24"/>
          <w:szCs w:val="24"/>
          <w:lang w:val="en-CA"/>
        </w:rPr>
        <w:t xml:space="preserve">who decides whether </w:t>
      </w:r>
      <w:r w:rsidR="009C4383" w:rsidRPr="00E609A4">
        <w:rPr>
          <w:rFonts w:cstheme="minorHAnsi"/>
          <w:sz w:val="24"/>
          <w:szCs w:val="24"/>
          <w:lang w:val="en-CA"/>
        </w:rPr>
        <w:t xml:space="preserve">or not the ground fails. </w:t>
      </w:r>
      <w:r w:rsidR="00CB0151" w:rsidRPr="00E609A4">
        <w:rPr>
          <w:rFonts w:cstheme="minorHAnsi"/>
          <w:sz w:val="24"/>
          <w:szCs w:val="24"/>
          <w:lang w:val="en-CA"/>
        </w:rPr>
        <w:t>Counsel</w:t>
      </w:r>
      <w:r w:rsidR="00F04694" w:rsidRPr="00E609A4">
        <w:rPr>
          <w:rFonts w:cstheme="minorHAnsi"/>
          <w:sz w:val="24"/>
          <w:szCs w:val="24"/>
          <w:lang w:val="en-CA"/>
        </w:rPr>
        <w:t>’s</w:t>
      </w:r>
      <w:r w:rsidR="00486AEF" w:rsidRPr="00E609A4">
        <w:rPr>
          <w:rFonts w:cstheme="minorHAnsi"/>
          <w:sz w:val="24"/>
          <w:szCs w:val="24"/>
          <w:lang w:val="en-CA"/>
        </w:rPr>
        <w:t xml:space="preserve"> </w:t>
      </w:r>
      <w:r w:rsidR="009C4383" w:rsidRPr="00E609A4">
        <w:rPr>
          <w:rFonts w:cstheme="minorHAnsi"/>
          <w:sz w:val="24"/>
          <w:szCs w:val="24"/>
          <w:lang w:val="en-CA"/>
        </w:rPr>
        <w:t xml:space="preserve">use </w:t>
      </w:r>
      <w:r w:rsidR="00486AEF" w:rsidRPr="00E609A4">
        <w:rPr>
          <w:rFonts w:cstheme="minorHAnsi"/>
          <w:sz w:val="24"/>
          <w:szCs w:val="24"/>
          <w:lang w:val="en-CA"/>
        </w:rPr>
        <w:t xml:space="preserve">of imperative </w:t>
      </w:r>
      <w:r w:rsidR="00F970A1">
        <w:rPr>
          <w:rFonts w:cstheme="minorHAnsi"/>
          <w:sz w:val="24"/>
          <w:szCs w:val="24"/>
          <w:lang w:val="en-CA"/>
        </w:rPr>
        <w:t>modal</w:t>
      </w:r>
      <w:r w:rsidR="00486AEF" w:rsidRPr="00E609A4">
        <w:rPr>
          <w:rFonts w:cstheme="minorHAnsi"/>
          <w:sz w:val="24"/>
          <w:szCs w:val="24"/>
          <w:lang w:val="en-CA"/>
        </w:rPr>
        <w:t xml:space="preserve"> ‘must’ is arr</w:t>
      </w:r>
      <w:r w:rsidR="005B1BF7" w:rsidRPr="00E609A4">
        <w:rPr>
          <w:rFonts w:cstheme="minorHAnsi"/>
          <w:sz w:val="24"/>
          <w:szCs w:val="24"/>
          <w:lang w:val="en-CA"/>
        </w:rPr>
        <w:t>ogant and inappropriate.</w:t>
      </w:r>
    </w:p>
    <w:p w:rsidR="00E609A4" w:rsidRPr="00E609A4" w:rsidRDefault="00E609A4" w:rsidP="00EC51FB">
      <w:pPr>
        <w:pStyle w:val="ListParagraph"/>
        <w:spacing w:line="240" w:lineRule="auto"/>
        <w:rPr>
          <w:rFonts w:cstheme="minorHAnsi"/>
          <w:sz w:val="24"/>
          <w:szCs w:val="24"/>
          <w:lang w:val="en-CA"/>
        </w:rPr>
      </w:pPr>
    </w:p>
    <w:p w:rsidR="003D3FF2" w:rsidRPr="00E609A4" w:rsidRDefault="002728EB" w:rsidP="00EC51FB">
      <w:pPr>
        <w:pStyle w:val="ListParagraph"/>
        <w:numPr>
          <w:ilvl w:val="0"/>
          <w:numId w:val="2"/>
        </w:numPr>
        <w:ind w:hanging="720"/>
        <w:rPr>
          <w:rFonts w:cstheme="minorHAnsi"/>
          <w:sz w:val="24"/>
          <w:szCs w:val="24"/>
        </w:rPr>
      </w:pPr>
      <w:r w:rsidRPr="00E609A4">
        <w:rPr>
          <w:rFonts w:cstheme="minorHAnsi"/>
          <w:sz w:val="24"/>
          <w:szCs w:val="24"/>
          <w:lang w:val="en-CA"/>
        </w:rPr>
        <w:t>With respect to item 70</w:t>
      </w:r>
      <w:r w:rsidR="00AF1BBF">
        <w:rPr>
          <w:rFonts w:cstheme="minorHAnsi"/>
          <w:sz w:val="24"/>
          <w:szCs w:val="24"/>
          <w:lang w:val="en-CA"/>
        </w:rPr>
        <w:t>,</w:t>
      </w:r>
      <w:r w:rsidRPr="00E609A4">
        <w:rPr>
          <w:rFonts w:cstheme="minorHAnsi"/>
          <w:sz w:val="24"/>
          <w:szCs w:val="24"/>
          <w:lang w:val="en-CA"/>
        </w:rPr>
        <w:t xml:space="preserve"> then again</w:t>
      </w:r>
      <w:r w:rsidR="00410049" w:rsidRPr="00E609A4">
        <w:rPr>
          <w:rFonts w:cstheme="minorHAnsi"/>
          <w:sz w:val="24"/>
          <w:szCs w:val="24"/>
          <w:lang w:val="en-CA"/>
        </w:rPr>
        <w:t xml:space="preserve"> one can state anything one wants. </w:t>
      </w:r>
      <w:r w:rsidR="00CB0151" w:rsidRPr="00E609A4">
        <w:rPr>
          <w:rFonts w:cstheme="minorHAnsi"/>
          <w:sz w:val="24"/>
          <w:szCs w:val="24"/>
          <w:lang w:val="en-CA"/>
        </w:rPr>
        <w:t>Counsel</w:t>
      </w:r>
      <w:r w:rsidR="00545BD7" w:rsidRPr="00E609A4">
        <w:rPr>
          <w:rFonts w:cstheme="minorHAnsi"/>
          <w:sz w:val="24"/>
          <w:szCs w:val="24"/>
          <w:lang w:val="en-CA"/>
        </w:rPr>
        <w:t xml:space="preserve"> is stating that the inference was drawn in 2010</w:t>
      </w:r>
      <w:r w:rsidR="002C2DD9" w:rsidRPr="00E609A4">
        <w:rPr>
          <w:rFonts w:cstheme="minorHAnsi"/>
          <w:sz w:val="24"/>
          <w:szCs w:val="24"/>
          <w:lang w:val="en-CA"/>
        </w:rPr>
        <w:t>,</w:t>
      </w:r>
      <w:r w:rsidR="00545BD7" w:rsidRPr="00E609A4">
        <w:rPr>
          <w:rFonts w:cstheme="minorHAnsi"/>
          <w:sz w:val="24"/>
          <w:szCs w:val="24"/>
          <w:lang w:val="en-CA"/>
        </w:rPr>
        <w:t xml:space="preserve"> which was when the trial took place. It </w:t>
      </w:r>
      <w:r w:rsidR="002C2DD9" w:rsidRPr="00E609A4">
        <w:rPr>
          <w:rFonts w:cstheme="minorHAnsi"/>
          <w:sz w:val="24"/>
          <w:szCs w:val="24"/>
          <w:lang w:val="en-CA"/>
        </w:rPr>
        <w:t xml:space="preserve">has been the </w:t>
      </w:r>
      <w:r w:rsidR="00902709">
        <w:rPr>
          <w:rFonts w:cstheme="minorHAnsi"/>
          <w:sz w:val="24"/>
          <w:szCs w:val="24"/>
          <w:lang w:val="en-CA"/>
        </w:rPr>
        <w:t>Applicant</w:t>
      </w:r>
      <w:r w:rsidR="00545BD7" w:rsidRPr="00E609A4">
        <w:rPr>
          <w:rFonts w:cstheme="minorHAnsi"/>
          <w:sz w:val="24"/>
          <w:szCs w:val="24"/>
          <w:lang w:val="en-CA"/>
        </w:rPr>
        <w:t xml:space="preserve">’s testimony all along that he knew the charge was false from the day he was given that ticket by Flindall. He testified about the satisfaction that he </w:t>
      </w:r>
      <w:r w:rsidR="002C2DD9" w:rsidRPr="00E609A4">
        <w:rPr>
          <w:rFonts w:cstheme="minorHAnsi"/>
          <w:sz w:val="24"/>
          <w:szCs w:val="24"/>
          <w:lang w:val="en-CA"/>
        </w:rPr>
        <w:t>observed</w:t>
      </w:r>
      <w:r w:rsidR="00545BD7" w:rsidRPr="00E609A4">
        <w:rPr>
          <w:rFonts w:cstheme="minorHAnsi"/>
          <w:sz w:val="24"/>
          <w:szCs w:val="24"/>
          <w:lang w:val="en-CA"/>
        </w:rPr>
        <w:t xml:space="preserve"> o</w:t>
      </w:r>
      <w:r w:rsidR="002C2DD9" w:rsidRPr="00E609A4">
        <w:rPr>
          <w:rFonts w:cstheme="minorHAnsi"/>
          <w:sz w:val="24"/>
          <w:szCs w:val="24"/>
          <w:lang w:val="en-CA"/>
        </w:rPr>
        <w:t>n</w:t>
      </w:r>
      <w:r w:rsidR="00545BD7" w:rsidRPr="00E609A4">
        <w:rPr>
          <w:rFonts w:cstheme="minorHAnsi"/>
          <w:sz w:val="24"/>
          <w:szCs w:val="24"/>
          <w:lang w:val="en-CA"/>
        </w:rPr>
        <w:t xml:space="preserve"> </w:t>
      </w:r>
      <w:r w:rsidR="002C2DD9" w:rsidRPr="00E609A4">
        <w:rPr>
          <w:rFonts w:cstheme="minorHAnsi"/>
          <w:sz w:val="24"/>
          <w:szCs w:val="24"/>
          <w:lang w:val="en-CA"/>
        </w:rPr>
        <w:t>Flindall’s</w:t>
      </w:r>
      <w:r w:rsidR="00545BD7" w:rsidRPr="00E609A4">
        <w:rPr>
          <w:rFonts w:cstheme="minorHAnsi"/>
          <w:sz w:val="24"/>
          <w:szCs w:val="24"/>
          <w:lang w:val="en-CA"/>
        </w:rPr>
        <w:t xml:space="preserve"> face when he </w:t>
      </w:r>
      <w:r w:rsidR="00EC51FB">
        <w:rPr>
          <w:rFonts w:cstheme="minorHAnsi"/>
          <w:sz w:val="24"/>
          <w:szCs w:val="24"/>
          <w:lang w:val="en-CA"/>
        </w:rPr>
        <w:t>wrote</w:t>
      </w:r>
      <w:r w:rsidR="00545BD7" w:rsidRPr="00E609A4">
        <w:rPr>
          <w:rFonts w:cstheme="minorHAnsi"/>
          <w:sz w:val="24"/>
          <w:szCs w:val="24"/>
          <w:lang w:val="en-CA"/>
        </w:rPr>
        <w:t xml:space="preserve"> the </w:t>
      </w:r>
      <w:r w:rsidR="00902709">
        <w:rPr>
          <w:rFonts w:cstheme="minorHAnsi"/>
          <w:sz w:val="24"/>
          <w:szCs w:val="24"/>
          <w:lang w:val="en-CA"/>
        </w:rPr>
        <w:t>Applicant</w:t>
      </w:r>
      <w:r w:rsidR="00545BD7" w:rsidRPr="00E609A4">
        <w:rPr>
          <w:rFonts w:cstheme="minorHAnsi"/>
          <w:sz w:val="24"/>
          <w:szCs w:val="24"/>
          <w:lang w:val="en-CA"/>
        </w:rPr>
        <w:t xml:space="preserve"> that ticket. </w:t>
      </w:r>
      <w:r w:rsidR="002C2DD9" w:rsidRPr="00E609A4">
        <w:rPr>
          <w:rFonts w:cstheme="minorHAnsi"/>
          <w:sz w:val="24"/>
          <w:szCs w:val="24"/>
          <w:lang w:val="en-CA"/>
        </w:rPr>
        <w:t>This aspect of</w:t>
      </w:r>
      <w:r w:rsidR="00AF1BBF">
        <w:rPr>
          <w:rFonts w:cstheme="minorHAnsi"/>
          <w:sz w:val="24"/>
          <w:szCs w:val="24"/>
          <w:lang w:val="en-CA"/>
        </w:rPr>
        <w:t xml:space="preserve"> the</w:t>
      </w:r>
      <w:r w:rsidR="002C2DD9" w:rsidRPr="00E609A4">
        <w:rPr>
          <w:rFonts w:cstheme="minorHAnsi"/>
          <w:sz w:val="24"/>
          <w:szCs w:val="24"/>
          <w:lang w:val="en-CA"/>
        </w:rPr>
        <w:t xml:space="preserve"> </w:t>
      </w:r>
      <w:r w:rsidR="00902709">
        <w:rPr>
          <w:rFonts w:cstheme="minorHAnsi"/>
          <w:sz w:val="24"/>
          <w:szCs w:val="24"/>
          <w:lang w:val="en-CA"/>
        </w:rPr>
        <w:t>Applicant</w:t>
      </w:r>
      <w:r w:rsidR="002C2DD9" w:rsidRPr="00E609A4">
        <w:rPr>
          <w:rFonts w:cstheme="minorHAnsi"/>
          <w:sz w:val="24"/>
          <w:szCs w:val="24"/>
          <w:lang w:val="en-CA"/>
        </w:rPr>
        <w:t xml:space="preserve">’s testimony </w:t>
      </w:r>
      <w:r w:rsidR="00545BD7" w:rsidRPr="00E609A4">
        <w:rPr>
          <w:rFonts w:cstheme="minorHAnsi"/>
          <w:sz w:val="24"/>
          <w:szCs w:val="24"/>
          <w:lang w:val="en-CA"/>
        </w:rPr>
        <w:t xml:space="preserve">was </w:t>
      </w:r>
      <w:r w:rsidR="002C2DD9" w:rsidRPr="00E609A4">
        <w:rPr>
          <w:rFonts w:cstheme="minorHAnsi"/>
          <w:sz w:val="24"/>
          <w:szCs w:val="24"/>
          <w:lang w:val="en-CA"/>
        </w:rPr>
        <w:t xml:space="preserve">never </w:t>
      </w:r>
      <w:r w:rsidR="00545BD7" w:rsidRPr="00E609A4">
        <w:rPr>
          <w:rFonts w:cstheme="minorHAnsi"/>
          <w:sz w:val="24"/>
          <w:szCs w:val="24"/>
          <w:lang w:val="en-CA"/>
        </w:rPr>
        <w:t>explored furt</w:t>
      </w:r>
      <w:r w:rsidR="002C2DD9" w:rsidRPr="00E609A4">
        <w:rPr>
          <w:rFonts w:cstheme="minorHAnsi"/>
          <w:sz w:val="24"/>
          <w:szCs w:val="24"/>
          <w:lang w:val="en-CA"/>
        </w:rPr>
        <w:t>her during cross examination by Counsel</w:t>
      </w:r>
      <w:r w:rsidR="00545BD7" w:rsidRPr="00E609A4">
        <w:rPr>
          <w:rFonts w:cstheme="minorHAnsi"/>
          <w:sz w:val="24"/>
          <w:szCs w:val="24"/>
          <w:lang w:val="en-CA"/>
        </w:rPr>
        <w:t xml:space="preserve">. </w:t>
      </w:r>
    </w:p>
    <w:p w:rsidR="003D3FF2" w:rsidRDefault="003D3FF2" w:rsidP="00EC51FB">
      <w:pPr>
        <w:pStyle w:val="ListParagraph"/>
        <w:spacing w:line="240" w:lineRule="auto"/>
        <w:rPr>
          <w:rFonts w:cstheme="minorHAnsi"/>
          <w:sz w:val="24"/>
          <w:szCs w:val="24"/>
          <w:lang w:val="en-CA"/>
        </w:rPr>
      </w:pPr>
    </w:p>
    <w:p w:rsidR="003D3FF2" w:rsidRPr="00646EDE" w:rsidRDefault="00545BD7" w:rsidP="00EC51FB">
      <w:pPr>
        <w:pStyle w:val="ListParagraph"/>
        <w:numPr>
          <w:ilvl w:val="0"/>
          <w:numId w:val="2"/>
        </w:numPr>
        <w:ind w:hanging="720"/>
        <w:rPr>
          <w:rFonts w:cstheme="minorHAnsi"/>
          <w:sz w:val="24"/>
          <w:szCs w:val="24"/>
          <w:lang w:val="en-CA"/>
        </w:rPr>
      </w:pPr>
      <w:r w:rsidRPr="00646EDE">
        <w:rPr>
          <w:rFonts w:cstheme="minorHAnsi"/>
          <w:sz w:val="24"/>
          <w:szCs w:val="24"/>
          <w:lang w:val="en-CA"/>
        </w:rPr>
        <w:t xml:space="preserve">The </w:t>
      </w:r>
      <w:r w:rsidRPr="00646EDE">
        <w:rPr>
          <w:rFonts w:cstheme="minorHAnsi"/>
          <w:i/>
          <w:sz w:val="24"/>
          <w:szCs w:val="24"/>
          <w:lang w:val="en-CA"/>
        </w:rPr>
        <w:t>HTA</w:t>
      </w:r>
      <w:r w:rsidRPr="00646EDE">
        <w:rPr>
          <w:rFonts w:cstheme="minorHAnsi"/>
          <w:sz w:val="24"/>
          <w:szCs w:val="24"/>
          <w:lang w:val="en-CA"/>
        </w:rPr>
        <w:t xml:space="preserve"> transcripts were entered into evidence</w:t>
      </w:r>
      <w:r w:rsidR="00860760" w:rsidRPr="00646EDE">
        <w:rPr>
          <w:rStyle w:val="FootnoteReference"/>
          <w:rFonts w:cstheme="minorHAnsi"/>
          <w:sz w:val="24"/>
          <w:szCs w:val="24"/>
          <w:lang w:val="en-CA"/>
        </w:rPr>
        <w:footnoteReference w:id="39"/>
      </w:r>
      <w:r w:rsidRPr="00646EDE">
        <w:rPr>
          <w:rFonts w:cstheme="minorHAnsi"/>
          <w:sz w:val="24"/>
          <w:szCs w:val="24"/>
          <w:lang w:val="en-CA"/>
        </w:rPr>
        <w:t xml:space="preserve"> and </w:t>
      </w:r>
      <w:proofErr w:type="gramStart"/>
      <w:r w:rsidR="00646EDE" w:rsidRPr="00646EDE">
        <w:rPr>
          <w:rFonts w:cstheme="minorHAnsi"/>
          <w:sz w:val="24"/>
          <w:szCs w:val="24"/>
          <w:lang w:val="en-CA"/>
        </w:rPr>
        <w:t>it’s</w:t>
      </w:r>
      <w:proofErr w:type="gramEnd"/>
      <w:r w:rsidR="00646EDE" w:rsidRPr="00646EDE">
        <w:rPr>
          <w:rFonts w:cstheme="minorHAnsi"/>
          <w:sz w:val="24"/>
          <w:szCs w:val="24"/>
          <w:lang w:val="en-CA"/>
        </w:rPr>
        <w:t xml:space="preserve"> judgement by Justice of the Peace C. Young summed up that there simply wasn’t enough evidence to warrant a conviction.</w:t>
      </w:r>
      <w:r w:rsidR="006B42C3" w:rsidRPr="00646EDE">
        <w:rPr>
          <w:rStyle w:val="FootnoteReference"/>
          <w:rFonts w:cstheme="minorHAnsi"/>
          <w:sz w:val="24"/>
          <w:szCs w:val="24"/>
          <w:lang w:val="en-CA"/>
        </w:rPr>
        <w:footnoteReference w:id="40"/>
      </w:r>
      <w:r w:rsidRPr="00646EDE">
        <w:rPr>
          <w:rFonts w:cstheme="minorHAnsi"/>
          <w:sz w:val="24"/>
          <w:szCs w:val="24"/>
          <w:lang w:val="en-CA"/>
        </w:rPr>
        <w:t xml:space="preserve"> </w:t>
      </w:r>
      <w:r w:rsidR="00646EDE">
        <w:rPr>
          <w:rFonts w:cstheme="minorHAnsi"/>
          <w:sz w:val="24"/>
          <w:szCs w:val="24"/>
          <w:lang w:val="en-CA"/>
        </w:rPr>
        <w:t xml:space="preserve">It </w:t>
      </w:r>
      <w:r w:rsidR="00104CB9" w:rsidRPr="00646EDE">
        <w:rPr>
          <w:rFonts w:cstheme="minorHAnsi"/>
          <w:sz w:val="24"/>
          <w:szCs w:val="24"/>
          <w:lang w:val="en-CA"/>
        </w:rPr>
        <w:t xml:space="preserve">simply warranted speaking to Jack and not charging him. It </w:t>
      </w:r>
      <w:r w:rsidR="00830C64" w:rsidRPr="00646EDE">
        <w:rPr>
          <w:rFonts w:cstheme="minorHAnsi"/>
          <w:sz w:val="24"/>
          <w:szCs w:val="24"/>
          <w:lang w:val="en-CA"/>
        </w:rPr>
        <w:t xml:space="preserve">is </w:t>
      </w:r>
      <w:r w:rsidR="00104CB9" w:rsidRPr="00646EDE">
        <w:rPr>
          <w:rFonts w:cstheme="minorHAnsi"/>
          <w:sz w:val="24"/>
          <w:szCs w:val="24"/>
          <w:lang w:val="en-CA"/>
        </w:rPr>
        <w:t xml:space="preserve">this action of charging </w:t>
      </w:r>
      <w:r w:rsidR="004439C9" w:rsidRPr="00646EDE">
        <w:rPr>
          <w:rFonts w:cstheme="minorHAnsi"/>
          <w:sz w:val="24"/>
          <w:szCs w:val="24"/>
          <w:lang w:val="en-CA"/>
        </w:rPr>
        <w:t xml:space="preserve">the </w:t>
      </w:r>
      <w:r w:rsidR="00902709" w:rsidRPr="00646EDE">
        <w:rPr>
          <w:rFonts w:cstheme="minorHAnsi"/>
          <w:sz w:val="24"/>
          <w:szCs w:val="24"/>
          <w:lang w:val="en-CA"/>
        </w:rPr>
        <w:t>Applicant</w:t>
      </w:r>
      <w:r w:rsidR="00104CB9" w:rsidRPr="00646EDE">
        <w:rPr>
          <w:rFonts w:cstheme="minorHAnsi"/>
          <w:sz w:val="24"/>
          <w:szCs w:val="24"/>
          <w:lang w:val="en-CA"/>
        </w:rPr>
        <w:t xml:space="preserve"> that is referenced in the application as something stemming</w:t>
      </w:r>
      <w:r w:rsidR="00EC51FB" w:rsidRPr="00646EDE">
        <w:rPr>
          <w:rFonts w:cstheme="minorHAnsi"/>
          <w:sz w:val="24"/>
          <w:szCs w:val="24"/>
          <w:lang w:val="en-CA"/>
        </w:rPr>
        <w:t xml:space="preserve"> from </w:t>
      </w:r>
      <w:r w:rsidR="00104CB9" w:rsidRPr="00646EDE">
        <w:rPr>
          <w:rFonts w:cstheme="minorHAnsi"/>
          <w:sz w:val="24"/>
          <w:szCs w:val="24"/>
          <w:lang w:val="en-CA"/>
        </w:rPr>
        <w:t xml:space="preserve">contempt towards </w:t>
      </w:r>
      <w:r w:rsidR="00104CB9" w:rsidRPr="00646EDE">
        <w:rPr>
          <w:rFonts w:cstheme="minorHAnsi"/>
          <w:sz w:val="24"/>
          <w:szCs w:val="24"/>
          <w:lang w:val="en-CA"/>
        </w:rPr>
        <w:lastRenderedPageBreak/>
        <w:t xml:space="preserve">the </w:t>
      </w:r>
      <w:r w:rsidR="00902709" w:rsidRPr="00646EDE">
        <w:rPr>
          <w:rFonts w:cstheme="minorHAnsi"/>
          <w:sz w:val="24"/>
          <w:szCs w:val="24"/>
          <w:lang w:val="en-CA"/>
        </w:rPr>
        <w:t>Applicant</w:t>
      </w:r>
      <w:r w:rsidR="00EC51FB" w:rsidRPr="00646EDE">
        <w:rPr>
          <w:rFonts w:cstheme="minorHAnsi"/>
          <w:sz w:val="24"/>
          <w:szCs w:val="24"/>
          <w:lang w:val="en-CA"/>
        </w:rPr>
        <w:t xml:space="preserve">. </w:t>
      </w:r>
      <w:r w:rsidR="00410049" w:rsidRPr="00646EDE">
        <w:rPr>
          <w:rFonts w:cstheme="minorHAnsi"/>
          <w:sz w:val="24"/>
          <w:szCs w:val="24"/>
          <w:lang w:val="en-CA"/>
        </w:rPr>
        <w:t xml:space="preserve">The fact </w:t>
      </w:r>
      <w:r w:rsidR="00104CB9" w:rsidRPr="00646EDE">
        <w:rPr>
          <w:rFonts w:cstheme="minorHAnsi"/>
          <w:sz w:val="24"/>
          <w:szCs w:val="24"/>
          <w:lang w:val="en-CA"/>
        </w:rPr>
        <w:t>that all possible evidence in existence was given and the char</w:t>
      </w:r>
      <w:r w:rsidR="00830C64" w:rsidRPr="00646EDE">
        <w:rPr>
          <w:rFonts w:cstheme="minorHAnsi"/>
          <w:sz w:val="24"/>
          <w:szCs w:val="24"/>
          <w:lang w:val="en-CA"/>
        </w:rPr>
        <w:t>g</w:t>
      </w:r>
      <w:r w:rsidR="00104CB9" w:rsidRPr="00646EDE">
        <w:rPr>
          <w:rFonts w:cstheme="minorHAnsi"/>
          <w:sz w:val="24"/>
          <w:szCs w:val="24"/>
          <w:lang w:val="en-CA"/>
        </w:rPr>
        <w:t xml:space="preserve">e </w:t>
      </w:r>
      <w:r w:rsidR="005E5311" w:rsidRPr="00646EDE">
        <w:rPr>
          <w:rFonts w:cstheme="minorHAnsi"/>
          <w:sz w:val="24"/>
          <w:szCs w:val="24"/>
          <w:lang w:val="en-CA"/>
        </w:rPr>
        <w:t xml:space="preserve">was </w:t>
      </w:r>
      <w:r w:rsidR="0029782E" w:rsidRPr="00646EDE">
        <w:rPr>
          <w:rFonts w:cstheme="minorHAnsi"/>
          <w:sz w:val="24"/>
          <w:szCs w:val="24"/>
          <w:lang w:val="en-CA"/>
        </w:rPr>
        <w:t>dismissed by courts is testament</w:t>
      </w:r>
      <w:r w:rsidR="00104CB9" w:rsidRPr="00646EDE">
        <w:rPr>
          <w:rFonts w:cstheme="minorHAnsi"/>
          <w:sz w:val="24"/>
          <w:szCs w:val="24"/>
          <w:lang w:val="en-CA"/>
        </w:rPr>
        <w:t xml:space="preserve"> to the lack of any </w:t>
      </w:r>
      <w:r w:rsidR="005E5311" w:rsidRPr="00646EDE">
        <w:rPr>
          <w:rFonts w:cstheme="minorHAnsi"/>
          <w:sz w:val="24"/>
          <w:szCs w:val="24"/>
          <w:lang w:val="en-CA"/>
        </w:rPr>
        <w:t xml:space="preserve">credible </w:t>
      </w:r>
      <w:r w:rsidR="00104CB9" w:rsidRPr="00646EDE">
        <w:rPr>
          <w:rFonts w:cstheme="minorHAnsi"/>
          <w:sz w:val="24"/>
          <w:szCs w:val="24"/>
          <w:lang w:val="en-CA"/>
        </w:rPr>
        <w:t>evidence to support the charge</w:t>
      </w:r>
      <w:r w:rsidR="0029782E" w:rsidRPr="00646EDE">
        <w:rPr>
          <w:rFonts w:cstheme="minorHAnsi"/>
          <w:sz w:val="24"/>
          <w:szCs w:val="24"/>
          <w:lang w:val="en-CA"/>
        </w:rPr>
        <w:t>.</w:t>
      </w:r>
    </w:p>
    <w:p w:rsidR="003D3FF2" w:rsidRPr="003D3FF2" w:rsidRDefault="003D3FF2" w:rsidP="00EC51FB">
      <w:pPr>
        <w:pStyle w:val="ListParagraph"/>
        <w:spacing w:line="240" w:lineRule="auto"/>
        <w:rPr>
          <w:rFonts w:cstheme="minorHAnsi"/>
          <w:sz w:val="24"/>
          <w:szCs w:val="24"/>
          <w:lang w:val="en-CA"/>
        </w:rPr>
      </w:pPr>
    </w:p>
    <w:p w:rsidR="003D3FF2" w:rsidRPr="003D3FF2" w:rsidRDefault="00DD7C88" w:rsidP="00EC51FB">
      <w:pPr>
        <w:pStyle w:val="ListParagraph"/>
        <w:numPr>
          <w:ilvl w:val="0"/>
          <w:numId w:val="2"/>
        </w:numPr>
        <w:ind w:hanging="720"/>
        <w:rPr>
          <w:rFonts w:cstheme="minorHAnsi"/>
          <w:sz w:val="24"/>
          <w:szCs w:val="24"/>
        </w:rPr>
      </w:pPr>
      <w:r w:rsidRPr="003D3FF2">
        <w:rPr>
          <w:rFonts w:cstheme="minorHAnsi"/>
          <w:sz w:val="24"/>
          <w:szCs w:val="24"/>
          <w:lang w:val="en-CA"/>
        </w:rPr>
        <w:t xml:space="preserve">Seldom does one hear of why one is being </w:t>
      </w:r>
      <w:r w:rsidR="00EC51FB">
        <w:rPr>
          <w:rFonts w:cstheme="minorHAnsi"/>
          <w:sz w:val="24"/>
          <w:szCs w:val="24"/>
          <w:lang w:val="en-CA"/>
        </w:rPr>
        <w:t>subjected to differential treatment</w:t>
      </w:r>
      <w:r w:rsidRPr="003D3FF2">
        <w:rPr>
          <w:rFonts w:cstheme="minorHAnsi"/>
          <w:sz w:val="24"/>
          <w:szCs w:val="24"/>
          <w:lang w:val="en-CA"/>
        </w:rPr>
        <w:t>, for example, ‘</w:t>
      </w:r>
      <w:r w:rsidRPr="00EC51FB">
        <w:rPr>
          <w:rFonts w:cstheme="minorHAnsi"/>
          <w:i/>
          <w:iCs/>
          <w:sz w:val="24"/>
          <w:szCs w:val="24"/>
          <w:lang w:val="en-CA"/>
        </w:rPr>
        <w:t>an employee is told by a manager that the manager does not like him because he is a crazy Russian who cannot speak English normally</w:t>
      </w:r>
      <w:r w:rsidR="00EC51FB" w:rsidRPr="00EC51FB">
        <w:rPr>
          <w:rFonts w:cstheme="minorHAnsi"/>
          <w:i/>
          <w:iCs/>
          <w:sz w:val="24"/>
          <w:szCs w:val="24"/>
          <w:lang w:val="en-CA"/>
        </w:rPr>
        <w:t>,</w:t>
      </w:r>
      <w:r w:rsidRPr="00EC51FB">
        <w:rPr>
          <w:rFonts w:cstheme="minorHAnsi"/>
          <w:i/>
          <w:iCs/>
          <w:sz w:val="24"/>
          <w:szCs w:val="24"/>
          <w:lang w:val="en-CA"/>
        </w:rPr>
        <w:t xml:space="preserve"> but with a thick Russian accent that attracts attention.</w:t>
      </w:r>
      <w:r w:rsidRPr="003D3FF2">
        <w:rPr>
          <w:rFonts w:cstheme="minorHAnsi"/>
          <w:sz w:val="24"/>
          <w:szCs w:val="24"/>
          <w:lang w:val="en-CA"/>
        </w:rPr>
        <w:t>’ However, that employee would only feel the effects of that manager’s feelings by the manager’s actions towards him.</w:t>
      </w:r>
    </w:p>
    <w:p w:rsidR="003D3FF2" w:rsidRPr="003D3FF2" w:rsidRDefault="003D3FF2" w:rsidP="001F32CC">
      <w:pPr>
        <w:pStyle w:val="ListParagraph"/>
        <w:spacing w:line="240" w:lineRule="auto"/>
        <w:rPr>
          <w:rFonts w:cstheme="minorHAnsi"/>
          <w:sz w:val="24"/>
          <w:szCs w:val="24"/>
          <w:lang w:val="en-CA"/>
        </w:rPr>
      </w:pPr>
    </w:p>
    <w:p w:rsidR="00726898" w:rsidRPr="000C5B17" w:rsidRDefault="00DD7C88" w:rsidP="001F32CC">
      <w:pPr>
        <w:pStyle w:val="ListParagraph"/>
        <w:numPr>
          <w:ilvl w:val="0"/>
          <w:numId w:val="2"/>
        </w:numPr>
        <w:ind w:hanging="720"/>
        <w:rPr>
          <w:rFonts w:cstheme="minorHAnsi"/>
          <w:sz w:val="24"/>
          <w:szCs w:val="24"/>
        </w:rPr>
      </w:pPr>
      <w:r w:rsidRPr="003D3FF2">
        <w:rPr>
          <w:rFonts w:cstheme="minorHAnsi"/>
          <w:sz w:val="24"/>
          <w:szCs w:val="24"/>
          <w:lang w:val="en-CA"/>
        </w:rPr>
        <w:t xml:space="preserve">Such actions always have results and the </w:t>
      </w:r>
      <w:r w:rsidR="00902709">
        <w:rPr>
          <w:rFonts w:cstheme="minorHAnsi"/>
          <w:sz w:val="24"/>
          <w:szCs w:val="24"/>
          <w:lang w:val="en-CA"/>
        </w:rPr>
        <w:t>Applicant</w:t>
      </w:r>
      <w:r w:rsidR="00410049" w:rsidRPr="003D3FF2">
        <w:rPr>
          <w:rFonts w:cstheme="minorHAnsi"/>
          <w:sz w:val="24"/>
          <w:szCs w:val="24"/>
          <w:lang w:val="en-CA"/>
        </w:rPr>
        <w:t xml:space="preserve"> suffered harsh consequences as a result of th</w:t>
      </w:r>
      <w:r w:rsidR="00545BD7" w:rsidRPr="003D3FF2">
        <w:rPr>
          <w:rFonts w:cstheme="minorHAnsi"/>
          <w:sz w:val="24"/>
          <w:szCs w:val="24"/>
          <w:lang w:val="en-CA"/>
        </w:rPr>
        <w:t>e</w:t>
      </w:r>
      <w:r w:rsidR="001F32CC">
        <w:rPr>
          <w:rFonts w:cstheme="minorHAnsi"/>
          <w:sz w:val="24"/>
          <w:szCs w:val="24"/>
          <w:lang w:val="en-CA"/>
        </w:rPr>
        <w:t xml:space="preserve"> </w:t>
      </w:r>
      <w:r w:rsidR="001F32CC" w:rsidRPr="00646EDE">
        <w:rPr>
          <w:rFonts w:cstheme="minorHAnsi"/>
          <w:i/>
          <w:sz w:val="24"/>
          <w:szCs w:val="24"/>
          <w:lang w:val="en-CA"/>
        </w:rPr>
        <w:t>HTA</w:t>
      </w:r>
      <w:r w:rsidR="001F32CC">
        <w:rPr>
          <w:rFonts w:cstheme="minorHAnsi"/>
          <w:sz w:val="24"/>
          <w:szCs w:val="24"/>
          <w:lang w:val="en-CA"/>
        </w:rPr>
        <w:t xml:space="preserve"> </w:t>
      </w:r>
      <w:r w:rsidR="00410049" w:rsidRPr="003D3FF2">
        <w:rPr>
          <w:rFonts w:cstheme="minorHAnsi"/>
          <w:sz w:val="24"/>
          <w:szCs w:val="24"/>
          <w:lang w:val="en-CA"/>
        </w:rPr>
        <w:t xml:space="preserve">charge. And to briefly reiterate what was already </w:t>
      </w:r>
      <w:r w:rsidR="00115CD7">
        <w:rPr>
          <w:rFonts w:cstheme="minorHAnsi"/>
          <w:sz w:val="24"/>
          <w:szCs w:val="24"/>
          <w:lang w:val="en-CA"/>
        </w:rPr>
        <w:t xml:space="preserve">stated </w:t>
      </w:r>
      <w:r w:rsidR="00410049" w:rsidRPr="003D3FF2">
        <w:rPr>
          <w:rFonts w:cstheme="minorHAnsi"/>
          <w:sz w:val="24"/>
          <w:szCs w:val="24"/>
          <w:lang w:val="en-CA"/>
        </w:rPr>
        <w:t xml:space="preserve">in the </w:t>
      </w:r>
      <w:r w:rsidR="00902709">
        <w:rPr>
          <w:rFonts w:cstheme="minorHAnsi"/>
          <w:sz w:val="24"/>
          <w:szCs w:val="24"/>
          <w:lang w:val="en-CA"/>
        </w:rPr>
        <w:t>Applicant</w:t>
      </w:r>
      <w:r w:rsidR="00410049" w:rsidRPr="003D3FF2">
        <w:rPr>
          <w:rFonts w:cstheme="minorHAnsi"/>
          <w:sz w:val="24"/>
          <w:szCs w:val="24"/>
          <w:lang w:val="en-CA"/>
        </w:rPr>
        <w:t xml:space="preserve">’s closing submissions, the charge was </w:t>
      </w:r>
      <w:r w:rsidR="00410049" w:rsidRPr="003D3FF2">
        <w:rPr>
          <w:rFonts w:cstheme="minorHAnsi"/>
          <w:sz w:val="24"/>
          <w:szCs w:val="24"/>
        </w:rPr>
        <w:t xml:space="preserve">determined to be unsubstantiated, just like the internal complaint of associating with ‘Undesirables’, just like the allegation of feigning sickness, just like the allegation of surreptitiously recording officers, just like the allegations of refusing to sign his PERs, all of which were orchestrated by the same person – the </w:t>
      </w:r>
      <w:r w:rsidR="00902709">
        <w:rPr>
          <w:rFonts w:cstheme="minorHAnsi"/>
          <w:sz w:val="24"/>
          <w:szCs w:val="24"/>
        </w:rPr>
        <w:t>Applicant</w:t>
      </w:r>
      <w:r w:rsidR="00410049" w:rsidRPr="003D3FF2">
        <w:rPr>
          <w:rFonts w:cstheme="minorHAnsi"/>
          <w:sz w:val="24"/>
          <w:szCs w:val="24"/>
        </w:rPr>
        <w:t xml:space="preserve">’s direct </w:t>
      </w:r>
      <w:r w:rsidR="00410049" w:rsidRPr="000C5B17">
        <w:rPr>
          <w:rFonts w:cstheme="minorHAnsi"/>
          <w:sz w:val="24"/>
          <w:szCs w:val="24"/>
        </w:rPr>
        <w:t>supervisor Sgt. Robert Flindall, who never even bothered to hold mandatory PER meeting</w:t>
      </w:r>
      <w:r w:rsidR="00115CD7" w:rsidRPr="000C5B17">
        <w:rPr>
          <w:rFonts w:cstheme="minorHAnsi"/>
          <w:sz w:val="24"/>
          <w:szCs w:val="24"/>
        </w:rPr>
        <w:t>s</w:t>
      </w:r>
      <w:r w:rsidR="00410049" w:rsidRPr="000C5B17">
        <w:rPr>
          <w:rFonts w:cstheme="minorHAnsi"/>
          <w:sz w:val="24"/>
          <w:szCs w:val="24"/>
        </w:rPr>
        <w:t xml:space="preserve"> with the </w:t>
      </w:r>
      <w:r w:rsidR="00902709" w:rsidRPr="000C5B17">
        <w:rPr>
          <w:rFonts w:cstheme="minorHAnsi"/>
          <w:sz w:val="24"/>
          <w:szCs w:val="24"/>
        </w:rPr>
        <w:t>Applicant</w:t>
      </w:r>
      <w:r w:rsidR="00410049" w:rsidRPr="000C5B17">
        <w:rPr>
          <w:rFonts w:cstheme="minorHAnsi"/>
          <w:sz w:val="24"/>
          <w:szCs w:val="24"/>
        </w:rPr>
        <w:t>.</w:t>
      </w:r>
      <w:r w:rsidR="00E417C4" w:rsidRPr="000C5B17">
        <w:rPr>
          <w:rStyle w:val="FootnoteReference"/>
          <w:rFonts w:cstheme="minorHAnsi"/>
          <w:sz w:val="24"/>
          <w:szCs w:val="24"/>
        </w:rPr>
        <w:footnoteReference w:id="41"/>
      </w:r>
    </w:p>
    <w:p w:rsidR="00726898" w:rsidRPr="000C5B17" w:rsidRDefault="00726898" w:rsidP="001F32CC">
      <w:pPr>
        <w:pStyle w:val="ListParagraph"/>
        <w:spacing w:line="240" w:lineRule="auto"/>
        <w:rPr>
          <w:rFonts w:cstheme="minorHAnsi"/>
          <w:sz w:val="24"/>
          <w:szCs w:val="24"/>
        </w:rPr>
      </w:pPr>
    </w:p>
    <w:p w:rsidR="00E417C4" w:rsidRPr="000C5B17" w:rsidRDefault="00535771" w:rsidP="001242F5">
      <w:pPr>
        <w:pStyle w:val="ListParagraph"/>
        <w:numPr>
          <w:ilvl w:val="0"/>
          <w:numId w:val="2"/>
        </w:numPr>
        <w:ind w:hanging="720"/>
        <w:rPr>
          <w:rFonts w:cstheme="minorHAnsi"/>
          <w:sz w:val="24"/>
          <w:szCs w:val="24"/>
          <w:lang w:val="en-CA"/>
        </w:rPr>
      </w:pPr>
      <w:r w:rsidRPr="000C5B17">
        <w:rPr>
          <w:rFonts w:cstheme="minorHAnsi"/>
          <w:sz w:val="24"/>
          <w:szCs w:val="24"/>
          <w:lang w:val="en-CA"/>
        </w:rPr>
        <w:t xml:space="preserve">With respect to item 73, then </w:t>
      </w:r>
      <w:r w:rsidR="00860B69" w:rsidRPr="000C5B17">
        <w:rPr>
          <w:rFonts w:cstheme="minorHAnsi"/>
          <w:sz w:val="24"/>
          <w:szCs w:val="24"/>
          <w:lang w:val="en-CA"/>
        </w:rPr>
        <w:t>t</w:t>
      </w:r>
      <w:r w:rsidR="005C4832" w:rsidRPr="000C5B17">
        <w:rPr>
          <w:rFonts w:cstheme="minorHAnsi"/>
          <w:sz w:val="24"/>
          <w:szCs w:val="24"/>
          <w:lang w:val="en-CA"/>
        </w:rPr>
        <w:t xml:space="preserve">he poisoning of </w:t>
      </w:r>
      <w:r w:rsidR="00860B69" w:rsidRPr="000C5B17">
        <w:rPr>
          <w:rFonts w:cstheme="minorHAnsi"/>
          <w:sz w:val="24"/>
          <w:szCs w:val="24"/>
          <w:lang w:val="en-CA"/>
        </w:rPr>
        <w:t xml:space="preserve">the </w:t>
      </w:r>
      <w:r w:rsidR="00902709" w:rsidRPr="000C5B17">
        <w:rPr>
          <w:rFonts w:cstheme="minorHAnsi"/>
          <w:sz w:val="24"/>
          <w:szCs w:val="24"/>
          <w:lang w:val="en-CA"/>
        </w:rPr>
        <w:t>Applicant</w:t>
      </w:r>
      <w:r w:rsidR="00860B69" w:rsidRPr="000C5B17">
        <w:rPr>
          <w:rFonts w:cstheme="minorHAnsi"/>
          <w:sz w:val="24"/>
          <w:szCs w:val="24"/>
          <w:lang w:val="en-CA"/>
        </w:rPr>
        <w:t xml:space="preserve">’s </w:t>
      </w:r>
      <w:r w:rsidR="005C4832" w:rsidRPr="000C5B17">
        <w:rPr>
          <w:rFonts w:cstheme="minorHAnsi"/>
          <w:sz w:val="24"/>
          <w:szCs w:val="24"/>
          <w:lang w:val="en-CA"/>
        </w:rPr>
        <w:t xml:space="preserve">work environment was established and shown through the testimony of </w:t>
      </w:r>
      <w:r w:rsidR="00AC5CA1" w:rsidRPr="000C5B17">
        <w:rPr>
          <w:rFonts w:cstheme="minorHAnsi"/>
          <w:sz w:val="24"/>
          <w:szCs w:val="24"/>
          <w:lang w:val="en-CA"/>
        </w:rPr>
        <w:t xml:space="preserve">Flindall who </w:t>
      </w:r>
      <w:r w:rsidR="00873882" w:rsidRPr="000C5B17">
        <w:rPr>
          <w:rFonts w:cstheme="minorHAnsi"/>
          <w:sz w:val="24"/>
          <w:szCs w:val="24"/>
          <w:lang w:val="en-CA"/>
        </w:rPr>
        <w:t>testified</w:t>
      </w:r>
      <w:r w:rsidR="00AC5CA1" w:rsidRPr="000C5B17">
        <w:rPr>
          <w:rFonts w:cstheme="minorHAnsi"/>
          <w:sz w:val="24"/>
          <w:szCs w:val="24"/>
          <w:lang w:val="en-CA"/>
        </w:rPr>
        <w:t xml:space="preserve"> that he addressed the use of the nickname ‘Crazy Ivan’ in a shift briefing before the </w:t>
      </w:r>
      <w:r w:rsidR="00902709" w:rsidRPr="000C5B17">
        <w:rPr>
          <w:rFonts w:cstheme="minorHAnsi"/>
          <w:sz w:val="24"/>
          <w:szCs w:val="24"/>
          <w:lang w:val="en-CA"/>
        </w:rPr>
        <w:t>Applicant</w:t>
      </w:r>
      <w:r w:rsidR="00AC5CA1" w:rsidRPr="000C5B17">
        <w:rPr>
          <w:rFonts w:cstheme="minorHAnsi"/>
          <w:sz w:val="24"/>
          <w:szCs w:val="24"/>
          <w:lang w:val="en-CA"/>
        </w:rPr>
        <w:t xml:space="preserve"> started w</w:t>
      </w:r>
      <w:r w:rsidR="00381A86" w:rsidRPr="000C5B17">
        <w:rPr>
          <w:rFonts w:cstheme="minorHAnsi"/>
          <w:sz w:val="24"/>
          <w:szCs w:val="24"/>
          <w:lang w:val="en-CA"/>
        </w:rPr>
        <w:t>o</w:t>
      </w:r>
      <w:r w:rsidR="00AC5CA1" w:rsidRPr="000C5B17">
        <w:rPr>
          <w:rFonts w:cstheme="minorHAnsi"/>
          <w:sz w:val="24"/>
          <w:szCs w:val="24"/>
          <w:lang w:val="en-CA"/>
        </w:rPr>
        <w:t>rking at the detachment.</w:t>
      </w:r>
      <w:r w:rsidR="00873882" w:rsidRPr="000C5B17">
        <w:rPr>
          <w:rStyle w:val="FootnoteReference"/>
          <w:rFonts w:cstheme="minorHAnsi"/>
          <w:sz w:val="24"/>
          <w:szCs w:val="24"/>
          <w:lang w:val="en-CA"/>
        </w:rPr>
        <w:t xml:space="preserve"> </w:t>
      </w:r>
      <w:r w:rsidR="00873882" w:rsidRPr="000C5B17">
        <w:rPr>
          <w:rStyle w:val="FootnoteReference"/>
          <w:rFonts w:cstheme="minorHAnsi"/>
          <w:sz w:val="24"/>
          <w:szCs w:val="24"/>
          <w:lang w:val="en-CA"/>
        </w:rPr>
        <w:footnoteReference w:id="42"/>
      </w:r>
      <w:r w:rsidR="00873882" w:rsidRPr="000C5B17">
        <w:rPr>
          <w:rFonts w:cstheme="minorHAnsi"/>
          <w:sz w:val="24"/>
          <w:szCs w:val="24"/>
          <w:lang w:val="en-CA"/>
        </w:rPr>
        <w:t xml:space="preserve"> </w:t>
      </w:r>
      <w:r w:rsidR="00AC5CA1" w:rsidRPr="000C5B17">
        <w:rPr>
          <w:rFonts w:cstheme="minorHAnsi"/>
          <w:sz w:val="24"/>
          <w:szCs w:val="24"/>
          <w:lang w:val="en-CA"/>
        </w:rPr>
        <w:t xml:space="preserve">He had to do this as per Ontario Public Service </w:t>
      </w:r>
      <w:r w:rsidR="001F32CC" w:rsidRPr="000C5B17">
        <w:rPr>
          <w:rFonts w:cstheme="minorHAnsi"/>
          <w:sz w:val="24"/>
          <w:szCs w:val="24"/>
          <w:lang w:val="en-CA"/>
        </w:rPr>
        <w:t>polices</w:t>
      </w:r>
      <w:r w:rsidR="00AC5CA1" w:rsidRPr="000C5B17">
        <w:rPr>
          <w:rFonts w:cstheme="minorHAnsi"/>
          <w:sz w:val="24"/>
          <w:szCs w:val="24"/>
          <w:lang w:val="en-CA"/>
        </w:rPr>
        <w:t xml:space="preserve"> and OPP Orders on a discrimination free work environment. It is </w:t>
      </w:r>
      <w:r w:rsidR="001F32CC" w:rsidRPr="000C5B17">
        <w:rPr>
          <w:rFonts w:cstheme="minorHAnsi"/>
          <w:sz w:val="24"/>
          <w:szCs w:val="24"/>
          <w:lang w:val="en-CA"/>
        </w:rPr>
        <w:t xml:space="preserve">therefore </w:t>
      </w:r>
      <w:r w:rsidR="00AC5CA1" w:rsidRPr="000C5B17">
        <w:rPr>
          <w:rFonts w:cstheme="minorHAnsi"/>
          <w:sz w:val="24"/>
          <w:szCs w:val="24"/>
          <w:lang w:val="en-CA"/>
        </w:rPr>
        <w:t xml:space="preserve">a fact that his officers were referencing the pending arrival of a ‘Crazy Russian’. However, this action of </w:t>
      </w:r>
      <w:r w:rsidR="00D50B17" w:rsidRPr="000C5B17">
        <w:rPr>
          <w:rFonts w:cstheme="minorHAnsi"/>
          <w:sz w:val="24"/>
          <w:szCs w:val="24"/>
          <w:lang w:val="en-CA"/>
        </w:rPr>
        <w:t>Flindall</w:t>
      </w:r>
      <w:r w:rsidR="00AC5CA1" w:rsidRPr="000C5B17">
        <w:rPr>
          <w:rFonts w:cstheme="minorHAnsi"/>
          <w:sz w:val="24"/>
          <w:szCs w:val="24"/>
          <w:lang w:val="en-CA"/>
        </w:rPr>
        <w:t xml:space="preserve"> did not diminish his disdain and contempt toward</w:t>
      </w:r>
      <w:r w:rsidR="005B3EC5" w:rsidRPr="000C5B17">
        <w:rPr>
          <w:rFonts w:cstheme="minorHAnsi"/>
          <w:sz w:val="24"/>
          <w:szCs w:val="24"/>
          <w:lang w:val="en-CA"/>
        </w:rPr>
        <w:t xml:space="preserve">s the </w:t>
      </w:r>
      <w:r w:rsidR="00902709" w:rsidRPr="000C5B17">
        <w:rPr>
          <w:rFonts w:cstheme="minorHAnsi"/>
          <w:sz w:val="24"/>
          <w:szCs w:val="24"/>
          <w:lang w:val="en-CA"/>
        </w:rPr>
        <w:t>Applicant</w:t>
      </w:r>
      <w:r w:rsidR="00AC5CA1" w:rsidRPr="000C5B17">
        <w:rPr>
          <w:rFonts w:cstheme="minorHAnsi"/>
          <w:sz w:val="24"/>
          <w:szCs w:val="24"/>
          <w:lang w:val="en-CA"/>
        </w:rPr>
        <w:t xml:space="preserve">. </w:t>
      </w:r>
      <w:r w:rsidR="001242F5" w:rsidRPr="000C5B17">
        <w:rPr>
          <w:rFonts w:cstheme="minorHAnsi"/>
          <w:sz w:val="24"/>
          <w:szCs w:val="24"/>
          <w:lang w:val="en-CA"/>
        </w:rPr>
        <w:t xml:space="preserve">Flindall even </w:t>
      </w:r>
      <w:r w:rsidR="00AC5CA1" w:rsidRPr="000C5B17">
        <w:rPr>
          <w:rFonts w:cstheme="minorHAnsi"/>
          <w:sz w:val="24"/>
          <w:szCs w:val="24"/>
          <w:lang w:val="en-CA"/>
        </w:rPr>
        <w:t xml:space="preserve">wanted to find out as much as possible about </w:t>
      </w:r>
      <w:r w:rsidR="001242F5" w:rsidRPr="000C5B17">
        <w:rPr>
          <w:rFonts w:cstheme="minorHAnsi"/>
          <w:sz w:val="24"/>
          <w:szCs w:val="24"/>
          <w:lang w:val="en-CA"/>
        </w:rPr>
        <w:t>the Applicant</w:t>
      </w:r>
      <w:r w:rsidR="00AC5CA1" w:rsidRPr="000C5B17">
        <w:rPr>
          <w:rFonts w:cstheme="minorHAnsi"/>
          <w:sz w:val="24"/>
          <w:szCs w:val="24"/>
          <w:lang w:val="en-CA"/>
        </w:rPr>
        <w:t xml:space="preserve"> prior to him starting on his platoon.</w:t>
      </w:r>
      <w:r w:rsidR="00AC5CA1" w:rsidRPr="000C5B17">
        <w:rPr>
          <w:rStyle w:val="FootnoteReference"/>
          <w:rFonts w:cstheme="minorHAnsi"/>
          <w:sz w:val="24"/>
          <w:szCs w:val="24"/>
          <w:lang w:val="en-CA"/>
        </w:rPr>
        <w:footnoteReference w:id="43"/>
      </w:r>
      <w:r w:rsidR="00AC5CA1" w:rsidRPr="000C5B17">
        <w:rPr>
          <w:rFonts w:cstheme="minorHAnsi"/>
          <w:sz w:val="24"/>
          <w:szCs w:val="24"/>
          <w:lang w:val="en-CA"/>
        </w:rPr>
        <w:t xml:space="preserve"> </w:t>
      </w:r>
    </w:p>
    <w:p w:rsidR="00E417C4" w:rsidRPr="000C5B17" w:rsidRDefault="00E417C4" w:rsidP="001242F5">
      <w:pPr>
        <w:pStyle w:val="ListParagraph"/>
        <w:spacing w:line="240" w:lineRule="auto"/>
        <w:rPr>
          <w:rFonts w:cstheme="minorHAnsi"/>
          <w:sz w:val="24"/>
          <w:szCs w:val="24"/>
          <w:lang w:val="en-CA"/>
        </w:rPr>
      </w:pPr>
    </w:p>
    <w:p w:rsidR="00381A86" w:rsidRPr="000C5B17" w:rsidRDefault="00AC5CA1" w:rsidP="00C94ECF">
      <w:pPr>
        <w:pStyle w:val="ListParagraph"/>
        <w:numPr>
          <w:ilvl w:val="0"/>
          <w:numId w:val="2"/>
        </w:numPr>
        <w:ind w:hanging="720"/>
        <w:rPr>
          <w:rFonts w:cstheme="minorHAnsi"/>
          <w:sz w:val="24"/>
          <w:szCs w:val="24"/>
          <w:lang w:val="en-CA"/>
        </w:rPr>
      </w:pPr>
      <w:r w:rsidRPr="000C5B17">
        <w:rPr>
          <w:rFonts w:cstheme="minorHAnsi"/>
          <w:sz w:val="24"/>
          <w:szCs w:val="24"/>
          <w:lang w:val="en-CA"/>
        </w:rPr>
        <w:t xml:space="preserve">He had the full support of the detachment management for that directive was coming down the </w:t>
      </w:r>
      <w:r w:rsidR="00381A86" w:rsidRPr="000C5B17">
        <w:rPr>
          <w:rFonts w:cstheme="minorHAnsi"/>
          <w:sz w:val="24"/>
          <w:szCs w:val="24"/>
          <w:lang w:val="en-CA"/>
        </w:rPr>
        <w:t>channels</w:t>
      </w:r>
      <w:r w:rsidR="00E417C4" w:rsidRPr="000C5B17">
        <w:rPr>
          <w:rFonts w:cstheme="minorHAnsi"/>
          <w:sz w:val="24"/>
          <w:szCs w:val="24"/>
          <w:lang w:val="en-CA"/>
        </w:rPr>
        <w:t xml:space="preserve"> of management</w:t>
      </w:r>
      <w:r w:rsidRPr="000C5B17">
        <w:rPr>
          <w:rFonts w:cstheme="minorHAnsi"/>
          <w:sz w:val="24"/>
          <w:szCs w:val="24"/>
          <w:lang w:val="en-CA"/>
        </w:rPr>
        <w:t>.</w:t>
      </w:r>
      <w:r w:rsidR="005B3EC5" w:rsidRPr="000C5B17">
        <w:rPr>
          <w:rStyle w:val="FootnoteReference"/>
          <w:rFonts w:cstheme="minorHAnsi"/>
          <w:sz w:val="24"/>
          <w:szCs w:val="24"/>
          <w:lang w:val="en-CA"/>
        </w:rPr>
        <w:footnoteReference w:id="44"/>
      </w:r>
      <w:r w:rsidRPr="000C5B17">
        <w:rPr>
          <w:rFonts w:cstheme="minorHAnsi"/>
          <w:sz w:val="24"/>
          <w:szCs w:val="24"/>
          <w:lang w:val="en-CA"/>
        </w:rPr>
        <w:t xml:space="preserve"> </w:t>
      </w:r>
    </w:p>
    <w:p w:rsidR="00381A86" w:rsidRPr="000C5B17" w:rsidRDefault="00381A86" w:rsidP="001242F5">
      <w:pPr>
        <w:pStyle w:val="ListParagraph"/>
        <w:spacing w:line="240" w:lineRule="auto"/>
        <w:rPr>
          <w:rFonts w:cstheme="minorHAnsi"/>
          <w:sz w:val="24"/>
          <w:szCs w:val="24"/>
          <w:lang w:val="en-CA"/>
        </w:rPr>
      </w:pPr>
    </w:p>
    <w:p w:rsidR="005C4832" w:rsidRPr="000C5B17" w:rsidRDefault="00381A86" w:rsidP="001242F5">
      <w:pPr>
        <w:pStyle w:val="ListParagraph"/>
        <w:numPr>
          <w:ilvl w:val="0"/>
          <w:numId w:val="2"/>
        </w:numPr>
        <w:ind w:hanging="720"/>
        <w:rPr>
          <w:rFonts w:cstheme="minorHAnsi"/>
          <w:sz w:val="24"/>
          <w:szCs w:val="24"/>
          <w:lang w:val="en-CA"/>
        </w:rPr>
      </w:pPr>
      <w:r w:rsidRPr="000C5B17">
        <w:rPr>
          <w:rFonts w:cstheme="minorHAnsi"/>
          <w:sz w:val="24"/>
          <w:szCs w:val="24"/>
          <w:lang w:val="en-CA"/>
        </w:rPr>
        <w:t>Hence</w:t>
      </w:r>
      <w:r w:rsidR="005B3EC5" w:rsidRPr="000C5B17">
        <w:rPr>
          <w:rFonts w:cstheme="minorHAnsi"/>
          <w:sz w:val="24"/>
          <w:szCs w:val="24"/>
          <w:lang w:val="en-CA"/>
        </w:rPr>
        <w:t>, for C</w:t>
      </w:r>
      <w:r w:rsidRPr="000C5B17">
        <w:rPr>
          <w:rFonts w:cstheme="minorHAnsi"/>
          <w:sz w:val="24"/>
          <w:szCs w:val="24"/>
          <w:lang w:val="en-CA"/>
        </w:rPr>
        <w:t xml:space="preserve">ounsel to say that </w:t>
      </w:r>
      <w:r w:rsidR="00AF1BBF" w:rsidRPr="000C5B17">
        <w:rPr>
          <w:rFonts w:cstheme="minorHAnsi"/>
          <w:sz w:val="24"/>
          <w:szCs w:val="24"/>
          <w:lang w:val="en-CA"/>
        </w:rPr>
        <w:t xml:space="preserve">the </w:t>
      </w:r>
      <w:r w:rsidR="00902709" w:rsidRPr="000C5B17">
        <w:rPr>
          <w:rFonts w:cstheme="minorHAnsi"/>
          <w:sz w:val="24"/>
          <w:szCs w:val="24"/>
          <w:lang w:val="en-CA"/>
        </w:rPr>
        <w:t>Applicant</w:t>
      </w:r>
      <w:r w:rsidR="00AF1BBF" w:rsidRPr="000C5B17">
        <w:rPr>
          <w:rFonts w:cstheme="minorHAnsi"/>
          <w:sz w:val="24"/>
          <w:szCs w:val="24"/>
          <w:lang w:val="en-CA"/>
        </w:rPr>
        <w:t xml:space="preserve"> is alleging that </w:t>
      </w:r>
      <w:r w:rsidRPr="000C5B17">
        <w:rPr>
          <w:rFonts w:cstheme="minorHAnsi"/>
          <w:sz w:val="24"/>
          <w:szCs w:val="24"/>
          <w:lang w:val="en-CA"/>
        </w:rPr>
        <w:t xml:space="preserve">the laying of the </w:t>
      </w:r>
      <w:r w:rsidR="0010407E" w:rsidRPr="000C5B17">
        <w:rPr>
          <w:rFonts w:cstheme="minorHAnsi"/>
          <w:sz w:val="24"/>
          <w:szCs w:val="24"/>
          <w:lang w:val="en-CA"/>
        </w:rPr>
        <w:t xml:space="preserve">HTA </w:t>
      </w:r>
      <w:r w:rsidRPr="000C5B17">
        <w:rPr>
          <w:rFonts w:cstheme="minorHAnsi"/>
          <w:sz w:val="24"/>
          <w:szCs w:val="24"/>
          <w:lang w:val="en-CA"/>
        </w:rPr>
        <w:t xml:space="preserve">charge was intended to poison </w:t>
      </w:r>
      <w:r w:rsidR="005B3EC5" w:rsidRPr="000C5B17">
        <w:rPr>
          <w:rFonts w:cstheme="minorHAnsi"/>
          <w:sz w:val="24"/>
          <w:szCs w:val="24"/>
          <w:lang w:val="en-CA"/>
        </w:rPr>
        <w:t xml:space="preserve">the </w:t>
      </w:r>
      <w:r w:rsidR="00902709" w:rsidRPr="000C5B17">
        <w:rPr>
          <w:rFonts w:cstheme="minorHAnsi"/>
          <w:sz w:val="24"/>
          <w:szCs w:val="24"/>
          <w:lang w:val="en-CA"/>
        </w:rPr>
        <w:t>Applicant</w:t>
      </w:r>
      <w:r w:rsidR="005B3EC5" w:rsidRPr="000C5B17">
        <w:rPr>
          <w:rFonts w:cstheme="minorHAnsi"/>
          <w:sz w:val="24"/>
          <w:szCs w:val="24"/>
          <w:lang w:val="en-CA"/>
        </w:rPr>
        <w:t>’s</w:t>
      </w:r>
      <w:r w:rsidRPr="000C5B17">
        <w:rPr>
          <w:rFonts w:cstheme="minorHAnsi"/>
          <w:sz w:val="24"/>
          <w:szCs w:val="24"/>
          <w:lang w:val="en-CA"/>
        </w:rPr>
        <w:t xml:space="preserve"> work environment is</w:t>
      </w:r>
      <w:r w:rsidR="001242F5" w:rsidRPr="000C5B17">
        <w:rPr>
          <w:rFonts w:cstheme="minorHAnsi"/>
          <w:sz w:val="24"/>
          <w:szCs w:val="24"/>
          <w:lang w:val="en-CA"/>
        </w:rPr>
        <w:t xml:space="preserve"> </w:t>
      </w:r>
      <w:r w:rsidRPr="000C5B17">
        <w:rPr>
          <w:rFonts w:cstheme="minorHAnsi"/>
          <w:sz w:val="24"/>
          <w:szCs w:val="24"/>
          <w:lang w:val="en-CA"/>
        </w:rPr>
        <w:t>not true. T</w:t>
      </w:r>
      <w:r w:rsidR="005C4832" w:rsidRPr="000C5B17">
        <w:rPr>
          <w:rFonts w:cstheme="minorHAnsi"/>
          <w:sz w:val="24"/>
          <w:szCs w:val="24"/>
          <w:lang w:val="en-CA"/>
        </w:rPr>
        <w:t>hat charge only added to the</w:t>
      </w:r>
      <w:r w:rsidR="00741C6C" w:rsidRPr="000C5B17">
        <w:rPr>
          <w:rFonts w:cstheme="minorHAnsi"/>
          <w:sz w:val="24"/>
          <w:szCs w:val="24"/>
          <w:lang w:val="en-CA"/>
        </w:rPr>
        <w:t xml:space="preserve"> poisoning of the </w:t>
      </w:r>
      <w:r w:rsidR="00902709" w:rsidRPr="000C5B17">
        <w:rPr>
          <w:rFonts w:cstheme="minorHAnsi"/>
          <w:sz w:val="24"/>
          <w:szCs w:val="24"/>
          <w:lang w:val="en-CA"/>
        </w:rPr>
        <w:t>Applicant</w:t>
      </w:r>
      <w:r w:rsidR="00741C6C" w:rsidRPr="000C5B17">
        <w:rPr>
          <w:rFonts w:cstheme="minorHAnsi"/>
          <w:sz w:val="24"/>
          <w:szCs w:val="24"/>
          <w:lang w:val="en-CA"/>
        </w:rPr>
        <w:t xml:space="preserve">’s </w:t>
      </w:r>
      <w:r w:rsidR="005C4832" w:rsidRPr="000C5B17">
        <w:rPr>
          <w:rFonts w:cstheme="minorHAnsi"/>
          <w:sz w:val="24"/>
          <w:szCs w:val="24"/>
          <w:lang w:val="en-CA"/>
        </w:rPr>
        <w:t xml:space="preserve">work environment. Nowhere in the </w:t>
      </w:r>
      <w:r w:rsidR="00902709" w:rsidRPr="000C5B17">
        <w:rPr>
          <w:rFonts w:cstheme="minorHAnsi"/>
          <w:sz w:val="24"/>
          <w:szCs w:val="24"/>
          <w:lang w:val="en-CA"/>
        </w:rPr>
        <w:t>Applicant</w:t>
      </w:r>
      <w:r w:rsidR="005C4832" w:rsidRPr="000C5B17">
        <w:rPr>
          <w:rFonts w:cstheme="minorHAnsi"/>
          <w:sz w:val="24"/>
          <w:szCs w:val="24"/>
          <w:lang w:val="en-CA"/>
        </w:rPr>
        <w:t>’s testimony was it stated or inferred that the application of that charge was ‘intended’ to poison Jack’s workplace. Such an inference wo</w:t>
      </w:r>
      <w:r w:rsidRPr="000C5B17">
        <w:rPr>
          <w:rFonts w:cstheme="minorHAnsi"/>
          <w:sz w:val="24"/>
          <w:szCs w:val="24"/>
          <w:lang w:val="en-CA"/>
        </w:rPr>
        <w:t>u</w:t>
      </w:r>
      <w:r w:rsidR="005C4832" w:rsidRPr="000C5B17">
        <w:rPr>
          <w:rFonts w:cstheme="minorHAnsi"/>
          <w:sz w:val="24"/>
          <w:szCs w:val="24"/>
          <w:lang w:val="en-CA"/>
        </w:rPr>
        <w:t>ld have been nothing</w:t>
      </w:r>
      <w:r w:rsidR="000C5B17" w:rsidRPr="000C5B17">
        <w:rPr>
          <w:rFonts w:cstheme="minorHAnsi"/>
          <w:sz w:val="24"/>
          <w:szCs w:val="24"/>
          <w:lang w:val="en-CA"/>
        </w:rPr>
        <w:t>,</w:t>
      </w:r>
      <w:r w:rsidR="005C4832" w:rsidRPr="000C5B17">
        <w:rPr>
          <w:rFonts w:cstheme="minorHAnsi"/>
          <w:sz w:val="24"/>
          <w:szCs w:val="24"/>
          <w:lang w:val="en-CA"/>
        </w:rPr>
        <w:t xml:space="preserve"> but mere speculation and objected to.</w:t>
      </w:r>
    </w:p>
    <w:p w:rsidR="00266981" w:rsidRDefault="006B2525" w:rsidP="00F32551">
      <w:pPr>
        <w:pStyle w:val="ListParagraph"/>
        <w:numPr>
          <w:ilvl w:val="0"/>
          <w:numId w:val="2"/>
        </w:numPr>
        <w:ind w:hanging="720"/>
        <w:rPr>
          <w:rFonts w:cstheme="minorHAnsi"/>
          <w:sz w:val="24"/>
          <w:szCs w:val="24"/>
          <w:lang w:val="en-CA"/>
        </w:rPr>
      </w:pPr>
      <w:r w:rsidRPr="005C4832">
        <w:rPr>
          <w:rFonts w:cstheme="minorHAnsi"/>
          <w:sz w:val="24"/>
          <w:szCs w:val="24"/>
          <w:lang w:val="en-CA"/>
        </w:rPr>
        <w:lastRenderedPageBreak/>
        <w:t xml:space="preserve">The fact remains </w:t>
      </w:r>
      <w:r w:rsidR="005C4832">
        <w:rPr>
          <w:rFonts w:cstheme="minorHAnsi"/>
          <w:sz w:val="24"/>
          <w:szCs w:val="24"/>
          <w:lang w:val="en-CA"/>
        </w:rPr>
        <w:t>that t</w:t>
      </w:r>
      <w:r w:rsidRPr="005C4832">
        <w:rPr>
          <w:rFonts w:cstheme="minorHAnsi"/>
          <w:sz w:val="24"/>
          <w:szCs w:val="24"/>
          <w:lang w:val="en-CA"/>
        </w:rPr>
        <w:t xml:space="preserve">he charge was dismissed in court. Had the crown attorney persecuting the charge found the court decision to be incorrect, they could have appealed the decision, but they never did. So to </w:t>
      </w:r>
      <w:r w:rsidR="00AF1BBF">
        <w:rPr>
          <w:rFonts w:cstheme="minorHAnsi"/>
          <w:sz w:val="24"/>
          <w:szCs w:val="24"/>
          <w:lang w:val="en-CA"/>
        </w:rPr>
        <w:t xml:space="preserve">now </w:t>
      </w:r>
      <w:r w:rsidRPr="005C4832">
        <w:rPr>
          <w:rFonts w:cstheme="minorHAnsi"/>
          <w:sz w:val="24"/>
          <w:szCs w:val="24"/>
          <w:lang w:val="en-CA"/>
        </w:rPr>
        <w:t>state that Flindall and Payne observe</w:t>
      </w:r>
      <w:r w:rsidR="00E36D8A" w:rsidRPr="005C4832">
        <w:rPr>
          <w:rFonts w:cstheme="minorHAnsi"/>
          <w:sz w:val="24"/>
          <w:szCs w:val="24"/>
          <w:lang w:val="en-CA"/>
        </w:rPr>
        <w:t>d</w:t>
      </w:r>
      <w:r w:rsidRPr="005C4832">
        <w:rPr>
          <w:rFonts w:cstheme="minorHAnsi"/>
          <w:sz w:val="24"/>
          <w:szCs w:val="24"/>
          <w:lang w:val="en-CA"/>
        </w:rPr>
        <w:t xml:space="preserve"> Jack’s </w:t>
      </w:r>
      <w:r w:rsidR="00E36D8A" w:rsidRPr="005C4832">
        <w:rPr>
          <w:rFonts w:cstheme="minorHAnsi"/>
          <w:sz w:val="24"/>
          <w:szCs w:val="24"/>
          <w:lang w:val="en-CA"/>
        </w:rPr>
        <w:t>un</w:t>
      </w:r>
      <w:r w:rsidRPr="005C4832">
        <w:rPr>
          <w:rFonts w:cstheme="minorHAnsi"/>
          <w:sz w:val="24"/>
          <w:szCs w:val="24"/>
          <w:lang w:val="en-CA"/>
        </w:rPr>
        <w:t>safe driving</w:t>
      </w:r>
      <w:r w:rsidR="00E36D8A" w:rsidRPr="005C4832">
        <w:rPr>
          <w:rFonts w:cstheme="minorHAnsi"/>
          <w:sz w:val="24"/>
          <w:szCs w:val="24"/>
          <w:lang w:val="en-CA"/>
        </w:rPr>
        <w:t xml:space="preserve"> manoeuvre</w:t>
      </w:r>
      <w:r w:rsidRPr="005C4832">
        <w:rPr>
          <w:rFonts w:cstheme="minorHAnsi"/>
          <w:sz w:val="24"/>
          <w:szCs w:val="24"/>
          <w:lang w:val="en-CA"/>
        </w:rPr>
        <w:t xml:space="preserve">, that </w:t>
      </w:r>
      <w:r w:rsidR="00B33AF0" w:rsidRPr="005C4832">
        <w:rPr>
          <w:rFonts w:cstheme="minorHAnsi"/>
          <w:sz w:val="24"/>
          <w:szCs w:val="24"/>
          <w:lang w:val="en-CA"/>
        </w:rPr>
        <w:t xml:space="preserve">their testimony was </w:t>
      </w:r>
      <w:r w:rsidRPr="005C4832">
        <w:rPr>
          <w:rFonts w:cstheme="minorHAnsi"/>
          <w:sz w:val="24"/>
          <w:szCs w:val="24"/>
          <w:lang w:val="en-CA"/>
        </w:rPr>
        <w:t>credible and trustworthy is nothing</w:t>
      </w:r>
      <w:r w:rsidR="00F32551">
        <w:rPr>
          <w:rFonts w:cstheme="minorHAnsi"/>
          <w:sz w:val="24"/>
          <w:szCs w:val="24"/>
          <w:lang w:val="en-CA"/>
        </w:rPr>
        <w:t>,</w:t>
      </w:r>
      <w:r w:rsidRPr="005C4832">
        <w:rPr>
          <w:rFonts w:cstheme="minorHAnsi"/>
          <w:sz w:val="24"/>
          <w:szCs w:val="24"/>
          <w:lang w:val="en-CA"/>
        </w:rPr>
        <w:t xml:space="preserve"> but a futile attempt to twist the plain and simple truth – the charge was unsubstantiated and it was rightfully dismissed. Whether it was racially motivated </w:t>
      </w:r>
      <w:r w:rsidR="00B33AF0" w:rsidRPr="005C4832">
        <w:rPr>
          <w:rFonts w:cstheme="minorHAnsi"/>
          <w:sz w:val="24"/>
          <w:szCs w:val="24"/>
          <w:lang w:val="en-CA"/>
        </w:rPr>
        <w:t xml:space="preserve">or not </w:t>
      </w:r>
      <w:r w:rsidRPr="005C4832">
        <w:rPr>
          <w:rFonts w:cstheme="minorHAnsi"/>
          <w:sz w:val="24"/>
          <w:szCs w:val="24"/>
          <w:lang w:val="en-CA"/>
        </w:rPr>
        <w:t xml:space="preserve">then it has to be looked upon </w:t>
      </w:r>
      <w:r w:rsidR="005C4832" w:rsidRPr="005C4832">
        <w:rPr>
          <w:rFonts w:cstheme="minorHAnsi"/>
          <w:sz w:val="24"/>
          <w:szCs w:val="24"/>
          <w:lang w:val="en-CA"/>
        </w:rPr>
        <w:t xml:space="preserve">collectively with </w:t>
      </w:r>
      <w:r w:rsidR="00F32551">
        <w:rPr>
          <w:rFonts w:cstheme="minorHAnsi"/>
          <w:sz w:val="24"/>
          <w:szCs w:val="24"/>
          <w:lang w:val="en-CA"/>
        </w:rPr>
        <w:t xml:space="preserve">all </w:t>
      </w:r>
      <w:r w:rsidR="005C4832" w:rsidRPr="005C4832">
        <w:rPr>
          <w:rFonts w:cstheme="minorHAnsi"/>
          <w:sz w:val="24"/>
          <w:szCs w:val="24"/>
          <w:lang w:val="en-CA"/>
        </w:rPr>
        <w:t>the other allegations and observations</w:t>
      </w:r>
      <w:r w:rsidRPr="005C4832">
        <w:rPr>
          <w:rFonts w:cstheme="minorHAnsi"/>
          <w:sz w:val="24"/>
          <w:szCs w:val="24"/>
          <w:lang w:val="en-CA"/>
        </w:rPr>
        <w:t xml:space="preserve"> as opposed to </w:t>
      </w:r>
      <w:r w:rsidR="00B33AF0" w:rsidRPr="005C4832">
        <w:rPr>
          <w:rFonts w:cstheme="minorHAnsi"/>
          <w:sz w:val="24"/>
          <w:szCs w:val="24"/>
          <w:lang w:val="en-CA"/>
        </w:rPr>
        <w:t xml:space="preserve">as </w:t>
      </w:r>
      <w:r w:rsidRPr="005C4832">
        <w:rPr>
          <w:rFonts w:cstheme="minorHAnsi"/>
          <w:sz w:val="24"/>
          <w:szCs w:val="24"/>
          <w:lang w:val="en-CA"/>
        </w:rPr>
        <w:t xml:space="preserve">an isolated incident. Tribunal rules of racial discrimination and harassment </w:t>
      </w:r>
      <w:r w:rsidR="00F32551">
        <w:rPr>
          <w:rFonts w:cstheme="minorHAnsi"/>
          <w:sz w:val="24"/>
          <w:szCs w:val="24"/>
          <w:lang w:val="en-CA"/>
        </w:rPr>
        <w:t xml:space="preserve">unequivocally </w:t>
      </w:r>
      <w:r w:rsidRPr="005C4832">
        <w:rPr>
          <w:rFonts w:cstheme="minorHAnsi"/>
          <w:sz w:val="24"/>
          <w:szCs w:val="24"/>
          <w:lang w:val="en-CA"/>
        </w:rPr>
        <w:t>stipulate that racial discrimination does not have t</w:t>
      </w:r>
      <w:r w:rsidR="00F57290" w:rsidRPr="005C4832">
        <w:rPr>
          <w:rFonts w:cstheme="minorHAnsi"/>
          <w:sz w:val="24"/>
          <w:szCs w:val="24"/>
          <w:lang w:val="en-CA"/>
        </w:rPr>
        <w:t>o be overt. It can be manifested, among other things,</w:t>
      </w:r>
      <w:r w:rsidRPr="005C4832">
        <w:rPr>
          <w:rFonts w:cstheme="minorHAnsi"/>
          <w:sz w:val="24"/>
          <w:szCs w:val="24"/>
          <w:lang w:val="en-CA"/>
        </w:rPr>
        <w:t xml:space="preserve"> in being subjected to scrutiny and differential </w:t>
      </w:r>
      <w:r w:rsidR="00F57290" w:rsidRPr="005C4832">
        <w:rPr>
          <w:rFonts w:cstheme="minorHAnsi"/>
          <w:sz w:val="24"/>
          <w:szCs w:val="24"/>
          <w:lang w:val="en-CA"/>
        </w:rPr>
        <w:t>management standards</w:t>
      </w:r>
      <w:r w:rsidR="00B17DB8" w:rsidRPr="005C4832">
        <w:rPr>
          <w:rFonts w:cstheme="minorHAnsi"/>
          <w:sz w:val="24"/>
          <w:szCs w:val="24"/>
          <w:lang w:val="en-CA"/>
        </w:rPr>
        <w:t>, a</w:t>
      </w:r>
      <w:r w:rsidR="00F57290" w:rsidRPr="005C4832">
        <w:rPr>
          <w:rFonts w:cstheme="minorHAnsi"/>
          <w:sz w:val="24"/>
          <w:szCs w:val="24"/>
          <w:lang w:val="en-CA"/>
        </w:rPr>
        <w:t xml:space="preserve">ll of which are found in abundance in the </w:t>
      </w:r>
      <w:r w:rsidR="00902709">
        <w:rPr>
          <w:rFonts w:cstheme="minorHAnsi"/>
          <w:sz w:val="24"/>
          <w:szCs w:val="24"/>
          <w:lang w:val="en-CA"/>
        </w:rPr>
        <w:t>Applicant</w:t>
      </w:r>
      <w:r w:rsidR="00F57290" w:rsidRPr="005C4832">
        <w:rPr>
          <w:rFonts w:cstheme="minorHAnsi"/>
          <w:sz w:val="24"/>
          <w:szCs w:val="24"/>
          <w:lang w:val="en-CA"/>
        </w:rPr>
        <w:t>’s case.</w:t>
      </w:r>
    </w:p>
    <w:p w:rsidR="00266981" w:rsidRPr="00266981" w:rsidRDefault="00266981" w:rsidP="009F7991">
      <w:pPr>
        <w:pStyle w:val="ListParagraph"/>
        <w:spacing w:line="240" w:lineRule="auto"/>
        <w:rPr>
          <w:rFonts w:cstheme="minorHAnsi"/>
          <w:sz w:val="24"/>
          <w:szCs w:val="24"/>
          <w:lang w:val="en-CA"/>
        </w:rPr>
      </w:pPr>
    </w:p>
    <w:p w:rsidR="009F7991" w:rsidRDefault="00266981" w:rsidP="009F7991">
      <w:pPr>
        <w:pStyle w:val="ListParagraph"/>
        <w:numPr>
          <w:ilvl w:val="0"/>
          <w:numId w:val="2"/>
        </w:numPr>
        <w:ind w:hanging="720"/>
        <w:rPr>
          <w:rFonts w:cstheme="minorHAnsi"/>
          <w:sz w:val="24"/>
          <w:szCs w:val="24"/>
          <w:lang w:val="en-CA"/>
        </w:rPr>
      </w:pPr>
      <w:r w:rsidRPr="00266981">
        <w:rPr>
          <w:rFonts w:cstheme="minorHAnsi"/>
          <w:sz w:val="24"/>
          <w:szCs w:val="24"/>
          <w:lang w:val="en-CA"/>
        </w:rPr>
        <w:t>With respect to items 81 and 82</w:t>
      </w:r>
      <w:r w:rsidR="00AF1BBF">
        <w:rPr>
          <w:rFonts w:cstheme="minorHAnsi"/>
          <w:sz w:val="24"/>
          <w:szCs w:val="24"/>
          <w:lang w:val="en-CA"/>
        </w:rPr>
        <w:t>,</w:t>
      </w:r>
      <w:r w:rsidRPr="00266981">
        <w:rPr>
          <w:rFonts w:cstheme="minorHAnsi"/>
          <w:sz w:val="24"/>
          <w:szCs w:val="24"/>
          <w:lang w:val="en-CA"/>
        </w:rPr>
        <w:t xml:space="preserve"> t</w:t>
      </w:r>
      <w:r w:rsidR="007154D2" w:rsidRPr="00266981">
        <w:rPr>
          <w:rFonts w:cstheme="minorHAnsi"/>
          <w:sz w:val="24"/>
          <w:szCs w:val="24"/>
          <w:lang w:val="en-CA"/>
        </w:rPr>
        <w:t>he notes of Kohen</w:t>
      </w:r>
      <w:r w:rsidR="007154D2" w:rsidRPr="00266981">
        <w:rPr>
          <w:rStyle w:val="FootnoteReference"/>
          <w:rFonts w:cstheme="minorHAnsi"/>
          <w:sz w:val="24"/>
          <w:szCs w:val="24"/>
          <w:lang w:val="en-CA"/>
        </w:rPr>
        <w:footnoteReference w:id="45"/>
      </w:r>
      <w:r w:rsidR="007154D2" w:rsidRPr="00266981">
        <w:rPr>
          <w:rFonts w:cstheme="minorHAnsi"/>
          <w:sz w:val="24"/>
          <w:szCs w:val="24"/>
          <w:lang w:val="en-CA"/>
        </w:rPr>
        <w:t>,</w:t>
      </w:r>
      <w:r w:rsidR="005C4832" w:rsidRPr="00266981">
        <w:rPr>
          <w:rFonts w:cstheme="minorHAnsi"/>
          <w:sz w:val="24"/>
          <w:szCs w:val="24"/>
          <w:lang w:val="en-CA"/>
        </w:rPr>
        <w:t xml:space="preserve"> Campbell</w:t>
      </w:r>
      <w:r w:rsidR="007154D2" w:rsidRPr="00266981">
        <w:rPr>
          <w:rStyle w:val="FootnoteReference"/>
          <w:rFonts w:cstheme="minorHAnsi"/>
          <w:sz w:val="24"/>
          <w:szCs w:val="24"/>
          <w:lang w:val="en-CA"/>
        </w:rPr>
        <w:footnoteReference w:id="46"/>
      </w:r>
      <w:r w:rsidR="009569F0" w:rsidRPr="00266981">
        <w:rPr>
          <w:rFonts w:cstheme="minorHAnsi"/>
          <w:sz w:val="24"/>
          <w:szCs w:val="24"/>
          <w:lang w:val="en-CA"/>
        </w:rPr>
        <w:t xml:space="preserve">, </w:t>
      </w:r>
      <w:r w:rsidR="005C4832" w:rsidRPr="00266981">
        <w:rPr>
          <w:rFonts w:cstheme="minorHAnsi"/>
          <w:sz w:val="24"/>
          <w:szCs w:val="24"/>
          <w:lang w:val="en-CA"/>
        </w:rPr>
        <w:t>the PFC</w:t>
      </w:r>
      <w:r w:rsidR="007154D2" w:rsidRPr="00266981">
        <w:rPr>
          <w:rStyle w:val="FootnoteReference"/>
          <w:rFonts w:cstheme="minorHAnsi"/>
          <w:sz w:val="24"/>
          <w:szCs w:val="24"/>
          <w:lang w:val="en-CA"/>
        </w:rPr>
        <w:footnoteReference w:id="47"/>
      </w:r>
      <w:r w:rsidR="009569F0" w:rsidRPr="00266981">
        <w:rPr>
          <w:rFonts w:cstheme="minorHAnsi"/>
          <w:sz w:val="24"/>
          <w:szCs w:val="24"/>
          <w:lang w:val="en-CA"/>
        </w:rPr>
        <w:t xml:space="preserve"> entries</w:t>
      </w:r>
      <w:r w:rsidR="005C4832" w:rsidRPr="00266981">
        <w:rPr>
          <w:rFonts w:cstheme="minorHAnsi"/>
          <w:sz w:val="24"/>
          <w:szCs w:val="24"/>
          <w:lang w:val="en-CA"/>
        </w:rPr>
        <w:t xml:space="preserve"> of Campbell</w:t>
      </w:r>
      <w:r w:rsidR="002D35CA" w:rsidRPr="00266981">
        <w:rPr>
          <w:rStyle w:val="FootnoteReference"/>
          <w:rFonts w:cstheme="minorHAnsi"/>
          <w:sz w:val="24"/>
          <w:szCs w:val="24"/>
          <w:lang w:val="en-CA"/>
        </w:rPr>
        <w:footnoteReference w:id="48"/>
      </w:r>
      <w:r w:rsidR="005C4832" w:rsidRPr="00266981">
        <w:rPr>
          <w:rFonts w:cstheme="minorHAnsi"/>
          <w:sz w:val="24"/>
          <w:szCs w:val="24"/>
          <w:lang w:val="en-CA"/>
        </w:rPr>
        <w:t xml:space="preserve"> and Nie</w:t>
      </w:r>
      <w:r w:rsidR="006410A3">
        <w:rPr>
          <w:rStyle w:val="FootnoteReference"/>
          <w:rFonts w:cstheme="minorHAnsi"/>
          <w:sz w:val="24"/>
          <w:szCs w:val="24"/>
          <w:lang w:val="en-CA"/>
        </w:rPr>
        <w:footnoteReference w:id="49"/>
      </w:r>
      <w:r w:rsidR="005C4832" w:rsidRPr="00266981">
        <w:rPr>
          <w:rFonts w:cstheme="minorHAnsi"/>
          <w:sz w:val="24"/>
          <w:szCs w:val="24"/>
          <w:lang w:val="en-CA"/>
        </w:rPr>
        <w:t xml:space="preserve">, </w:t>
      </w:r>
      <w:r w:rsidR="009569F0" w:rsidRPr="00266981">
        <w:rPr>
          <w:rFonts w:cstheme="minorHAnsi"/>
          <w:sz w:val="24"/>
          <w:szCs w:val="24"/>
          <w:lang w:val="en-CA"/>
        </w:rPr>
        <w:t>along with the correspondence with German</w:t>
      </w:r>
      <w:r w:rsidR="009569F0" w:rsidRPr="00266981">
        <w:rPr>
          <w:rStyle w:val="FootnoteReference"/>
          <w:rFonts w:cstheme="minorHAnsi"/>
          <w:sz w:val="24"/>
          <w:szCs w:val="24"/>
          <w:lang w:val="en-CA"/>
        </w:rPr>
        <w:footnoteReference w:id="50"/>
      </w:r>
      <w:r w:rsidR="009569F0" w:rsidRPr="00266981">
        <w:rPr>
          <w:rFonts w:cstheme="minorHAnsi"/>
          <w:sz w:val="24"/>
          <w:szCs w:val="24"/>
          <w:lang w:val="en-CA"/>
        </w:rPr>
        <w:t xml:space="preserve"> and the </w:t>
      </w:r>
      <w:r w:rsidR="00902709">
        <w:rPr>
          <w:rFonts w:cstheme="minorHAnsi"/>
          <w:sz w:val="24"/>
          <w:szCs w:val="24"/>
          <w:lang w:val="en-CA"/>
        </w:rPr>
        <w:t>Applicant</w:t>
      </w:r>
      <w:r w:rsidR="009569F0" w:rsidRPr="00266981">
        <w:rPr>
          <w:rFonts w:cstheme="minorHAnsi"/>
          <w:sz w:val="24"/>
          <w:szCs w:val="24"/>
          <w:lang w:val="en-CA"/>
        </w:rPr>
        <w:t>’s memorandum</w:t>
      </w:r>
      <w:r>
        <w:rPr>
          <w:rFonts w:cstheme="minorHAnsi"/>
          <w:sz w:val="24"/>
          <w:szCs w:val="24"/>
          <w:lang w:val="en-CA"/>
        </w:rPr>
        <w:t>,</w:t>
      </w:r>
      <w:r w:rsidR="009569F0" w:rsidRPr="00266981">
        <w:rPr>
          <w:rStyle w:val="FootnoteReference"/>
          <w:rFonts w:cstheme="minorHAnsi"/>
          <w:sz w:val="24"/>
          <w:szCs w:val="24"/>
          <w:lang w:val="en-CA"/>
        </w:rPr>
        <w:footnoteReference w:id="51"/>
      </w:r>
      <w:r w:rsidR="009569F0" w:rsidRPr="00266981">
        <w:rPr>
          <w:rFonts w:cstheme="minorHAnsi"/>
          <w:sz w:val="24"/>
          <w:szCs w:val="24"/>
          <w:lang w:val="en-CA"/>
        </w:rPr>
        <w:t xml:space="preserve"> </w:t>
      </w:r>
      <w:r w:rsidR="005C4832" w:rsidRPr="00266981">
        <w:rPr>
          <w:rFonts w:cstheme="minorHAnsi"/>
          <w:sz w:val="24"/>
          <w:szCs w:val="24"/>
          <w:lang w:val="en-CA"/>
        </w:rPr>
        <w:t>all of which were entered into evidence as exhibits</w:t>
      </w:r>
      <w:r w:rsidR="007154D2" w:rsidRPr="00266981">
        <w:rPr>
          <w:rFonts w:cstheme="minorHAnsi"/>
          <w:sz w:val="24"/>
          <w:szCs w:val="24"/>
          <w:lang w:val="en-CA"/>
        </w:rPr>
        <w:t>,</w:t>
      </w:r>
      <w:r w:rsidR="005C4832" w:rsidRPr="00266981">
        <w:rPr>
          <w:rFonts w:cstheme="minorHAnsi"/>
          <w:sz w:val="24"/>
          <w:szCs w:val="24"/>
          <w:lang w:val="en-CA"/>
        </w:rPr>
        <w:t xml:space="preserve"> document </w:t>
      </w:r>
      <w:r w:rsidR="007C3939" w:rsidRPr="00266981">
        <w:rPr>
          <w:rFonts w:cstheme="minorHAnsi"/>
          <w:sz w:val="24"/>
          <w:szCs w:val="24"/>
          <w:lang w:val="en-CA"/>
        </w:rPr>
        <w:t xml:space="preserve">that the </w:t>
      </w:r>
      <w:r w:rsidR="00902709">
        <w:rPr>
          <w:rFonts w:cstheme="minorHAnsi"/>
          <w:sz w:val="24"/>
          <w:szCs w:val="24"/>
          <w:lang w:val="en-CA"/>
        </w:rPr>
        <w:t>Applicant</w:t>
      </w:r>
      <w:r w:rsidR="007C3939" w:rsidRPr="00266981">
        <w:rPr>
          <w:rFonts w:cstheme="minorHAnsi"/>
          <w:sz w:val="24"/>
          <w:szCs w:val="24"/>
          <w:lang w:val="en-CA"/>
        </w:rPr>
        <w:t xml:space="preserve"> </w:t>
      </w:r>
      <w:r w:rsidRPr="00266981">
        <w:rPr>
          <w:rFonts w:cstheme="minorHAnsi"/>
          <w:sz w:val="24"/>
          <w:szCs w:val="24"/>
          <w:lang w:val="en-CA"/>
        </w:rPr>
        <w:t>did advise</w:t>
      </w:r>
      <w:r w:rsidR="007154D2" w:rsidRPr="00266981">
        <w:rPr>
          <w:rFonts w:cstheme="minorHAnsi"/>
          <w:sz w:val="24"/>
          <w:szCs w:val="24"/>
          <w:lang w:val="en-CA"/>
        </w:rPr>
        <w:t xml:space="preserve"> </w:t>
      </w:r>
      <w:r w:rsidR="009569F0" w:rsidRPr="00266981">
        <w:rPr>
          <w:rFonts w:cstheme="minorHAnsi"/>
          <w:sz w:val="24"/>
          <w:szCs w:val="24"/>
          <w:lang w:val="en-CA"/>
        </w:rPr>
        <w:t xml:space="preserve">numerous </w:t>
      </w:r>
      <w:r w:rsidR="007C3939" w:rsidRPr="00266981">
        <w:rPr>
          <w:rFonts w:cstheme="minorHAnsi"/>
          <w:sz w:val="24"/>
          <w:szCs w:val="24"/>
          <w:lang w:val="en-CA"/>
        </w:rPr>
        <w:t xml:space="preserve">individuals </w:t>
      </w:r>
      <w:r w:rsidR="007154D2" w:rsidRPr="00266981">
        <w:rPr>
          <w:rFonts w:cstheme="minorHAnsi"/>
          <w:sz w:val="24"/>
          <w:szCs w:val="24"/>
          <w:lang w:val="en-CA"/>
        </w:rPr>
        <w:t xml:space="preserve">of </w:t>
      </w:r>
      <w:r w:rsidR="007C3939" w:rsidRPr="00266981">
        <w:rPr>
          <w:rFonts w:cstheme="minorHAnsi"/>
          <w:sz w:val="24"/>
          <w:szCs w:val="24"/>
          <w:lang w:val="en-CA"/>
        </w:rPr>
        <w:t xml:space="preserve">the actions of </w:t>
      </w:r>
      <w:r w:rsidR="009569F0" w:rsidRPr="00266981">
        <w:rPr>
          <w:rFonts w:cstheme="minorHAnsi"/>
          <w:sz w:val="24"/>
          <w:szCs w:val="24"/>
          <w:lang w:val="en-CA"/>
        </w:rPr>
        <w:t xml:space="preserve">other </w:t>
      </w:r>
      <w:r w:rsidR="007C3939" w:rsidRPr="00266981">
        <w:rPr>
          <w:rFonts w:cstheme="minorHAnsi"/>
          <w:sz w:val="24"/>
          <w:szCs w:val="24"/>
          <w:lang w:val="en-CA"/>
        </w:rPr>
        <w:t>officers</w:t>
      </w:r>
      <w:r w:rsidR="007154D2" w:rsidRPr="00266981">
        <w:rPr>
          <w:rFonts w:cstheme="minorHAnsi"/>
          <w:sz w:val="24"/>
          <w:szCs w:val="24"/>
          <w:lang w:val="en-CA"/>
        </w:rPr>
        <w:t xml:space="preserve"> towards him</w:t>
      </w:r>
      <w:r w:rsidR="007C3939" w:rsidRPr="00266981">
        <w:rPr>
          <w:rFonts w:cstheme="minorHAnsi"/>
          <w:sz w:val="24"/>
          <w:szCs w:val="24"/>
          <w:lang w:val="en-CA"/>
        </w:rPr>
        <w:t>.</w:t>
      </w:r>
      <w:r w:rsidR="007154D2" w:rsidRPr="00266981">
        <w:rPr>
          <w:rFonts w:cstheme="minorHAnsi"/>
          <w:sz w:val="24"/>
          <w:szCs w:val="24"/>
          <w:lang w:val="en-CA"/>
        </w:rPr>
        <w:t xml:space="preserve"> </w:t>
      </w:r>
      <w:r w:rsidR="00F04694" w:rsidRPr="00266981">
        <w:rPr>
          <w:rFonts w:cstheme="minorHAnsi"/>
          <w:sz w:val="24"/>
          <w:szCs w:val="24"/>
          <w:lang w:val="en-CA"/>
        </w:rPr>
        <w:t xml:space="preserve">The </w:t>
      </w:r>
      <w:r w:rsidR="00902709">
        <w:rPr>
          <w:rFonts w:cstheme="minorHAnsi"/>
          <w:sz w:val="24"/>
          <w:szCs w:val="24"/>
          <w:lang w:val="en-CA"/>
        </w:rPr>
        <w:t>Applicant</w:t>
      </w:r>
      <w:r w:rsidR="00F04694" w:rsidRPr="00266981">
        <w:rPr>
          <w:rFonts w:cstheme="minorHAnsi"/>
          <w:sz w:val="24"/>
          <w:szCs w:val="24"/>
          <w:lang w:val="en-CA"/>
        </w:rPr>
        <w:t xml:space="preserve"> did provide testimony that he made management aware of his allegation. His examination in chief in 2012 reveal</w:t>
      </w:r>
      <w:r w:rsidR="00962CAA" w:rsidRPr="00266981">
        <w:rPr>
          <w:rFonts w:cstheme="minorHAnsi"/>
          <w:sz w:val="24"/>
          <w:szCs w:val="24"/>
          <w:lang w:val="en-CA"/>
        </w:rPr>
        <w:t>ed this and it was something that was not explored during cross examination. Consequently</w:t>
      </w:r>
      <w:r w:rsidR="006410A3">
        <w:rPr>
          <w:rFonts w:cstheme="minorHAnsi"/>
          <w:sz w:val="24"/>
          <w:szCs w:val="24"/>
          <w:lang w:val="en-CA"/>
        </w:rPr>
        <w:t>,</w:t>
      </w:r>
      <w:r w:rsidR="00962CAA" w:rsidRPr="00266981">
        <w:rPr>
          <w:rFonts w:cstheme="minorHAnsi"/>
          <w:sz w:val="24"/>
          <w:szCs w:val="24"/>
          <w:lang w:val="en-CA"/>
        </w:rPr>
        <w:t xml:space="preserve"> those involved in teleconference meetings and the August 19, 2009</w:t>
      </w:r>
      <w:r w:rsidR="007154D2" w:rsidRPr="00266981">
        <w:rPr>
          <w:rFonts w:cstheme="minorHAnsi"/>
          <w:sz w:val="24"/>
          <w:szCs w:val="24"/>
          <w:lang w:val="en-CA"/>
        </w:rPr>
        <w:t>,</w:t>
      </w:r>
      <w:r w:rsidR="00962CAA" w:rsidRPr="00266981">
        <w:rPr>
          <w:rFonts w:cstheme="minorHAnsi"/>
          <w:sz w:val="24"/>
          <w:szCs w:val="24"/>
          <w:lang w:val="en-CA"/>
        </w:rPr>
        <w:t xml:space="preserve"> meeting do reflect those allegations in their respect</w:t>
      </w:r>
      <w:r w:rsidR="00122A05" w:rsidRPr="00266981">
        <w:rPr>
          <w:rFonts w:cstheme="minorHAnsi"/>
          <w:sz w:val="24"/>
          <w:szCs w:val="24"/>
          <w:lang w:val="en-CA"/>
        </w:rPr>
        <w:t>ive</w:t>
      </w:r>
      <w:r w:rsidR="009F7991">
        <w:rPr>
          <w:rFonts w:cstheme="minorHAnsi"/>
          <w:sz w:val="24"/>
          <w:szCs w:val="24"/>
          <w:lang w:val="en-CA"/>
        </w:rPr>
        <w:t xml:space="preserve"> notes.</w:t>
      </w:r>
    </w:p>
    <w:p w:rsidR="009F7991" w:rsidRPr="009F7991" w:rsidRDefault="009F7991" w:rsidP="006410A3">
      <w:pPr>
        <w:pStyle w:val="ListParagraph"/>
        <w:spacing w:line="240" w:lineRule="auto"/>
        <w:rPr>
          <w:rFonts w:cstheme="minorHAnsi"/>
          <w:sz w:val="24"/>
          <w:szCs w:val="24"/>
          <w:lang w:val="en-CA"/>
        </w:rPr>
      </w:pPr>
    </w:p>
    <w:p w:rsidR="008409B0" w:rsidRPr="009F7991" w:rsidRDefault="00AF1BBF" w:rsidP="006410A3">
      <w:pPr>
        <w:pStyle w:val="ListParagraph"/>
        <w:numPr>
          <w:ilvl w:val="0"/>
          <w:numId w:val="2"/>
        </w:numPr>
        <w:ind w:hanging="720"/>
        <w:rPr>
          <w:rFonts w:cstheme="minorHAnsi"/>
          <w:sz w:val="24"/>
          <w:szCs w:val="24"/>
          <w:lang w:val="en-CA"/>
        </w:rPr>
      </w:pPr>
      <w:r w:rsidRPr="009F7991">
        <w:rPr>
          <w:rFonts w:cstheme="minorHAnsi"/>
          <w:sz w:val="24"/>
          <w:szCs w:val="24"/>
          <w:lang w:val="en-CA"/>
        </w:rPr>
        <w:t xml:space="preserve">Furthermore, </w:t>
      </w:r>
      <w:r w:rsidR="006410A3">
        <w:rPr>
          <w:rFonts w:cstheme="minorHAnsi"/>
          <w:sz w:val="24"/>
          <w:szCs w:val="24"/>
          <w:lang w:val="en-CA"/>
        </w:rPr>
        <w:t>the Applicant’s</w:t>
      </w:r>
      <w:r w:rsidRPr="009F7991">
        <w:rPr>
          <w:rFonts w:cstheme="minorHAnsi"/>
          <w:sz w:val="24"/>
          <w:szCs w:val="24"/>
          <w:lang w:val="en-CA"/>
        </w:rPr>
        <w:t xml:space="preserve"> testimony and evidence also revealed that subsequent to his platoon change he </w:t>
      </w:r>
      <w:r w:rsidR="00AC69C6" w:rsidRPr="009F7991">
        <w:rPr>
          <w:rFonts w:cstheme="minorHAnsi"/>
          <w:sz w:val="24"/>
          <w:szCs w:val="24"/>
          <w:lang w:val="en-CA"/>
        </w:rPr>
        <w:t xml:space="preserve">made Butorac and Nie </w:t>
      </w:r>
      <w:r w:rsidR="00962CAA" w:rsidRPr="009F7991">
        <w:rPr>
          <w:rFonts w:cstheme="minorHAnsi"/>
          <w:sz w:val="24"/>
          <w:szCs w:val="24"/>
          <w:lang w:val="en-CA"/>
        </w:rPr>
        <w:t xml:space="preserve">aware of his allegations in a subsequent meeting with </w:t>
      </w:r>
      <w:r w:rsidR="00AC69C6" w:rsidRPr="009F7991">
        <w:rPr>
          <w:rFonts w:cstheme="minorHAnsi"/>
          <w:sz w:val="24"/>
          <w:szCs w:val="24"/>
          <w:lang w:val="en-CA"/>
        </w:rPr>
        <w:t>them.</w:t>
      </w:r>
      <w:r w:rsidR="00962CAA" w:rsidRPr="009F7991">
        <w:rPr>
          <w:rFonts w:cstheme="minorHAnsi"/>
          <w:sz w:val="24"/>
          <w:szCs w:val="24"/>
          <w:lang w:val="en-CA"/>
        </w:rPr>
        <w:t xml:space="preserve"> In that meeting Nie was the only one to write down those allegations as reflected in his </w:t>
      </w:r>
      <w:r w:rsidR="006410A3">
        <w:rPr>
          <w:rFonts w:cstheme="minorHAnsi"/>
          <w:sz w:val="24"/>
          <w:szCs w:val="24"/>
          <w:lang w:val="en-CA"/>
        </w:rPr>
        <w:t>PFC entries.</w:t>
      </w:r>
      <w:r w:rsidR="006410A3" w:rsidRPr="006410A3">
        <w:rPr>
          <w:rStyle w:val="FootnoteReference"/>
          <w:rFonts w:cstheme="minorHAnsi"/>
          <w:sz w:val="24"/>
          <w:szCs w:val="24"/>
          <w:lang w:val="en-CA"/>
        </w:rPr>
        <w:t xml:space="preserve"> </w:t>
      </w:r>
      <w:r w:rsidR="006410A3">
        <w:rPr>
          <w:rStyle w:val="FootnoteReference"/>
          <w:rFonts w:cstheme="minorHAnsi"/>
          <w:sz w:val="24"/>
          <w:szCs w:val="24"/>
          <w:lang w:val="en-CA"/>
        </w:rPr>
        <w:footnoteReference w:id="52"/>
      </w:r>
    </w:p>
    <w:p w:rsidR="008409B0" w:rsidRPr="008409B0" w:rsidRDefault="008409B0" w:rsidP="006410A3">
      <w:pPr>
        <w:pStyle w:val="ListParagraph"/>
        <w:spacing w:line="240" w:lineRule="auto"/>
        <w:rPr>
          <w:rFonts w:cstheme="minorHAnsi"/>
          <w:sz w:val="24"/>
          <w:szCs w:val="24"/>
          <w:lang w:val="en-CA"/>
        </w:rPr>
      </w:pPr>
    </w:p>
    <w:p w:rsidR="006410A3" w:rsidRDefault="007C3939" w:rsidP="00120D1F">
      <w:pPr>
        <w:pStyle w:val="ListParagraph"/>
        <w:numPr>
          <w:ilvl w:val="0"/>
          <w:numId w:val="2"/>
        </w:numPr>
        <w:ind w:hanging="720"/>
        <w:rPr>
          <w:rFonts w:cstheme="minorHAnsi"/>
          <w:sz w:val="24"/>
          <w:szCs w:val="24"/>
          <w:lang w:val="en-CA"/>
        </w:rPr>
      </w:pPr>
      <w:r w:rsidRPr="008409B0">
        <w:rPr>
          <w:rFonts w:cstheme="minorHAnsi"/>
          <w:sz w:val="24"/>
          <w:szCs w:val="24"/>
          <w:lang w:val="en-CA"/>
        </w:rPr>
        <w:t xml:space="preserve">The </w:t>
      </w:r>
      <w:r w:rsidR="00902709">
        <w:rPr>
          <w:rFonts w:cstheme="minorHAnsi"/>
          <w:sz w:val="24"/>
          <w:szCs w:val="24"/>
          <w:lang w:val="en-CA"/>
        </w:rPr>
        <w:t>Applicant</w:t>
      </w:r>
      <w:r w:rsidRPr="008409B0">
        <w:rPr>
          <w:rFonts w:cstheme="minorHAnsi"/>
          <w:sz w:val="24"/>
          <w:szCs w:val="24"/>
          <w:lang w:val="en-CA"/>
        </w:rPr>
        <w:t xml:space="preserve"> made Kohen, </w:t>
      </w:r>
      <w:r w:rsidR="00122A05" w:rsidRPr="008409B0">
        <w:rPr>
          <w:rFonts w:cstheme="minorHAnsi"/>
          <w:sz w:val="24"/>
          <w:szCs w:val="24"/>
          <w:lang w:val="en-CA"/>
        </w:rPr>
        <w:t xml:space="preserve">German, </w:t>
      </w:r>
      <w:r w:rsidRPr="008409B0">
        <w:rPr>
          <w:rFonts w:cstheme="minorHAnsi"/>
          <w:sz w:val="24"/>
          <w:szCs w:val="24"/>
          <w:lang w:val="en-CA"/>
        </w:rPr>
        <w:t xml:space="preserve">Campbell and Nie aware that he viewed </w:t>
      </w:r>
      <w:r w:rsidR="00962CAA" w:rsidRPr="008409B0">
        <w:rPr>
          <w:rFonts w:cstheme="minorHAnsi"/>
          <w:sz w:val="24"/>
          <w:szCs w:val="24"/>
          <w:lang w:val="en-CA"/>
        </w:rPr>
        <w:t>what was being done to him as</w:t>
      </w:r>
      <w:r w:rsidRPr="008409B0">
        <w:rPr>
          <w:rFonts w:cstheme="minorHAnsi"/>
          <w:sz w:val="24"/>
          <w:szCs w:val="24"/>
          <w:lang w:val="en-CA"/>
        </w:rPr>
        <w:t xml:space="preserve"> oppressive and just plain wrong. His ignorance of the </w:t>
      </w:r>
      <w:r w:rsidR="002D35CA" w:rsidRPr="008409B0">
        <w:rPr>
          <w:rFonts w:cstheme="minorHAnsi"/>
          <w:sz w:val="24"/>
          <w:szCs w:val="24"/>
          <w:lang w:val="en-CA"/>
        </w:rPr>
        <w:t xml:space="preserve">Human Rights </w:t>
      </w:r>
      <w:r w:rsidRPr="008409B0">
        <w:rPr>
          <w:rFonts w:cstheme="minorHAnsi"/>
          <w:sz w:val="24"/>
          <w:szCs w:val="24"/>
          <w:lang w:val="en-CA"/>
        </w:rPr>
        <w:t>Code at the time of his discourse to these officers does not diminish the value</w:t>
      </w:r>
      <w:r w:rsidR="0076796E" w:rsidRPr="008409B0">
        <w:rPr>
          <w:rFonts w:cstheme="minorHAnsi"/>
          <w:sz w:val="24"/>
          <w:szCs w:val="24"/>
          <w:lang w:val="en-CA"/>
        </w:rPr>
        <w:t xml:space="preserve"> or worth</w:t>
      </w:r>
      <w:r w:rsidRPr="008409B0">
        <w:rPr>
          <w:rFonts w:cstheme="minorHAnsi"/>
          <w:sz w:val="24"/>
          <w:szCs w:val="24"/>
          <w:lang w:val="en-CA"/>
        </w:rPr>
        <w:t xml:space="preserve"> of bringing it to their attention. They clearly understood their value in their documentation </w:t>
      </w:r>
      <w:r w:rsidR="009569F0" w:rsidRPr="008409B0">
        <w:rPr>
          <w:rFonts w:cstheme="minorHAnsi"/>
          <w:sz w:val="24"/>
          <w:szCs w:val="24"/>
          <w:lang w:val="en-CA"/>
        </w:rPr>
        <w:t xml:space="preserve">of these comments. Campbell clearly </w:t>
      </w:r>
      <w:r w:rsidRPr="008409B0">
        <w:rPr>
          <w:rFonts w:cstheme="minorHAnsi"/>
          <w:sz w:val="24"/>
          <w:szCs w:val="24"/>
          <w:lang w:val="en-CA"/>
        </w:rPr>
        <w:t>acknowledged that these were potentially tantamount to a Human Rights complaint.</w:t>
      </w:r>
      <w:r>
        <w:rPr>
          <w:rStyle w:val="FootnoteReference"/>
          <w:rFonts w:cstheme="minorHAnsi"/>
          <w:sz w:val="24"/>
          <w:szCs w:val="24"/>
          <w:lang w:val="en-CA"/>
        </w:rPr>
        <w:footnoteReference w:id="53"/>
      </w:r>
      <w:r w:rsidRPr="008409B0">
        <w:rPr>
          <w:rFonts w:cstheme="minorHAnsi"/>
          <w:sz w:val="24"/>
          <w:szCs w:val="24"/>
          <w:lang w:val="en-CA"/>
        </w:rPr>
        <w:t xml:space="preserve"> </w:t>
      </w:r>
      <w:r w:rsidR="0076796E" w:rsidRPr="008409B0">
        <w:rPr>
          <w:rFonts w:cstheme="minorHAnsi"/>
          <w:sz w:val="24"/>
          <w:szCs w:val="24"/>
          <w:lang w:val="en-CA"/>
        </w:rPr>
        <w:t xml:space="preserve">It is </w:t>
      </w:r>
      <w:r w:rsidR="006410A3" w:rsidRPr="008409B0">
        <w:rPr>
          <w:rFonts w:cstheme="minorHAnsi"/>
          <w:sz w:val="24"/>
          <w:szCs w:val="24"/>
          <w:lang w:val="en-CA"/>
        </w:rPr>
        <w:t>unmistakably</w:t>
      </w:r>
      <w:r w:rsidR="0076796E" w:rsidRPr="008409B0">
        <w:rPr>
          <w:rFonts w:cstheme="minorHAnsi"/>
          <w:sz w:val="24"/>
          <w:szCs w:val="24"/>
          <w:lang w:val="en-CA"/>
        </w:rPr>
        <w:t xml:space="preserve"> understood in all aspects of the </w:t>
      </w:r>
      <w:r w:rsidR="00120D1F">
        <w:rPr>
          <w:rFonts w:cstheme="minorHAnsi"/>
          <w:sz w:val="24"/>
          <w:szCs w:val="24"/>
          <w:lang w:val="en-CA"/>
        </w:rPr>
        <w:t>judicial</w:t>
      </w:r>
      <w:r w:rsidR="0076796E" w:rsidRPr="008409B0">
        <w:rPr>
          <w:rFonts w:cstheme="minorHAnsi"/>
          <w:sz w:val="24"/>
          <w:szCs w:val="24"/>
          <w:lang w:val="en-CA"/>
        </w:rPr>
        <w:t xml:space="preserve"> system </w:t>
      </w:r>
      <w:r w:rsidR="0076796E" w:rsidRPr="008409B0">
        <w:rPr>
          <w:rFonts w:cstheme="minorHAnsi"/>
          <w:sz w:val="24"/>
          <w:szCs w:val="24"/>
          <w:lang w:val="en-CA"/>
        </w:rPr>
        <w:lastRenderedPageBreak/>
        <w:t>that one only documents important information or observations and information that will help one jog their me</w:t>
      </w:r>
      <w:r w:rsidR="00372F27" w:rsidRPr="008409B0">
        <w:rPr>
          <w:rFonts w:cstheme="minorHAnsi"/>
          <w:sz w:val="24"/>
          <w:szCs w:val="24"/>
          <w:lang w:val="en-CA"/>
        </w:rPr>
        <w:t>mory.</w:t>
      </w:r>
    </w:p>
    <w:p w:rsidR="006410A3" w:rsidRPr="006410A3" w:rsidRDefault="006410A3" w:rsidP="006410A3">
      <w:pPr>
        <w:pStyle w:val="ListParagraph"/>
        <w:spacing w:line="240" w:lineRule="auto"/>
        <w:rPr>
          <w:rFonts w:cstheme="minorHAnsi"/>
          <w:sz w:val="24"/>
          <w:szCs w:val="24"/>
          <w:lang w:val="en-CA"/>
        </w:rPr>
      </w:pPr>
    </w:p>
    <w:p w:rsidR="00372F27" w:rsidRPr="006410A3" w:rsidRDefault="009569F0" w:rsidP="006410A3">
      <w:pPr>
        <w:pStyle w:val="ListParagraph"/>
        <w:numPr>
          <w:ilvl w:val="0"/>
          <w:numId w:val="2"/>
        </w:numPr>
        <w:ind w:hanging="720"/>
        <w:rPr>
          <w:rFonts w:cstheme="minorHAnsi"/>
          <w:sz w:val="24"/>
          <w:szCs w:val="24"/>
          <w:lang w:val="en-CA"/>
        </w:rPr>
      </w:pPr>
      <w:r w:rsidRPr="006410A3">
        <w:rPr>
          <w:rFonts w:cstheme="minorHAnsi"/>
          <w:sz w:val="24"/>
          <w:szCs w:val="24"/>
          <w:lang w:val="en-CA"/>
        </w:rPr>
        <w:t>Bu</w:t>
      </w:r>
      <w:r w:rsidR="0076796E" w:rsidRPr="006410A3">
        <w:rPr>
          <w:rFonts w:cstheme="minorHAnsi"/>
          <w:sz w:val="24"/>
          <w:szCs w:val="24"/>
          <w:lang w:val="en-CA"/>
        </w:rPr>
        <w:t xml:space="preserve">torac’s lack of such documentation further </w:t>
      </w:r>
      <w:r w:rsidR="00372F27" w:rsidRPr="006410A3">
        <w:rPr>
          <w:rFonts w:cstheme="minorHAnsi"/>
          <w:sz w:val="24"/>
          <w:szCs w:val="24"/>
          <w:lang w:val="en-CA"/>
        </w:rPr>
        <w:t xml:space="preserve">attests to the fact </w:t>
      </w:r>
      <w:r w:rsidR="0076796E" w:rsidRPr="006410A3">
        <w:rPr>
          <w:rFonts w:cstheme="minorHAnsi"/>
          <w:sz w:val="24"/>
          <w:szCs w:val="24"/>
          <w:lang w:val="en-CA"/>
        </w:rPr>
        <w:t>that aside from witness Greco</w:t>
      </w:r>
      <w:r w:rsidR="00D75718">
        <w:rPr>
          <w:rStyle w:val="FootnoteReference"/>
          <w:rFonts w:cstheme="minorHAnsi"/>
          <w:sz w:val="24"/>
          <w:szCs w:val="24"/>
          <w:lang w:val="en-CA"/>
        </w:rPr>
        <w:footnoteReference w:id="54"/>
      </w:r>
      <w:r w:rsidR="0076796E" w:rsidRPr="006410A3">
        <w:rPr>
          <w:rFonts w:cstheme="minorHAnsi"/>
          <w:sz w:val="24"/>
          <w:szCs w:val="24"/>
          <w:lang w:val="en-CA"/>
        </w:rPr>
        <w:t xml:space="preserve"> everyone </w:t>
      </w:r>
      <w:r w:rsidR="00372F27" w:rsidRPr="006410A3">
        <w:rPr>
          <w:rFonts w:cstheme="minorHAnsi"/>
          <w:sz w:val="24"/>
          <w:szCs w:val="24"/>
          <w:lang w:val="en-CA"/>
        </w:rPr>
        <w:t>else who testified</w:t>
      </w:r>
      <w:r w:rsidR="0076796E" w:rsidRPr="006410A3">
        <w:rPr>
          <w:rFonts w:cstheme="minorHAnsi"/>
          <w:sz w:val="24"/>
          <w:szCs w:val="24"/>
          <w:lang w:val="en-CA"/>
        </w:rPr>
        <w:t xml:space="preserve"> attempted to testify in favour of the </w:t>
      </w:r>
      <w:r w:rsidR="0023626C" w:rsidRPr="006410A3">
        <w:rPr>
          <w:rFonts w:cstheme="minorHAnsi"/>
          <w:sz w:val="24"/>
          <w:szCs w:val="24"/>
          <w:lang w:val="en-CA"/>
        </w:rPr>
        <w:t>Respondent</w:t>
      </w:r>
      <w:r w:rsidR="0076796E" w:rsidRPr="006410A3">
        <w:rPr>
          <w:rFonts w:cstheme="minorHAnsi"/>
          <w:sz w:val="24"/>
          <w:szCs w:val="24"/>
          <w:lang w:val="en-CA"/>
        </w:rPr>
        <w:t xml:space="preserve">. It is clear that Butorac was afraid or not willing to document anything in his notes that could be adverse to any position of the </w:t>
      </w:r>
      <w:r w:rsidR="0023626C" w:rsidRPr="006410A3">
        <w:rPr>
          <w:rFonts w:cstheme="minorHAnsi"/>
          <w:sz w:val="24"/>
          <w:szCs w:val="24"/>
          <w:lang w:val="en-CA"/>
        </w:rPr>
        <w:t>Respondent</w:t>
      </w:r>
      <w:r w:rsidR="0076796E" w:rsidRPr="006410A3">
        <w:rPr>
          <w:rFonts w:cstheme="minorHAnsi"/>
          <w:sz w:val="24"/>
          <w:szCs w:val="24"/>
          <w:lang w:val="en-CA"/>
        </w:rPr>
        <w:t xml:space="preserve"> employer. </w:t>
      </w:r>
      <w:r w:rsidR="007C3939" w:rsidRPr="006410A3">
        <w:rPr>
          <w:rFonts w:cstheme="minorHAnsi"/>
          <w:sz w:val="24"/>
          <w:szCs w:val="24"/>
          <w:lang w:val="en-CA"/>
        </w:rPr>
        <w:t>Hence</w:t>
      </w:r>
      <w:r w:rsidR="0023626C" w:rsidRPr="006410A3">
        <w:rPr>
          <w:rFonts w:cstheme="minorHAnsi"/>
          <w:sz w:val="24"/>
          <w:szCs w:val="24"/>
          <w:lang w:val="en-CA"/>
        </w:rPr>
        <w:t>,</w:t>
      </w:r>
      <w:r w:rsidR="007C3939" w:rsidRPr="006410A3">
        <w:rPr>
          <w:rFonts w:cstheme="minorHAnsi"/>
          <w:sz w:val="24"/>
          <w:szCs w:val="24"/>
          <w:lang w:val="en-CA"/>
        </w:rPr>
        <w:t xml:space="preserve"> </w:t>
      </w:r>
      <w:r w:rsidR="00CB0151" w:rsidRPr="006410A3">
        <w:rPr>
          <w:rFonts w:cstheme="minorHAnsi"/>
          <w:sz w:val="24"/>
          <w:szCs w:val="24"/>
          <w:lang w:val="en-CA"/>
        </w:rPr>
        <w:t>Counsel</w:t>
      </w:r>
      <w:r w:rsidR="007C3939" w:rsidRPr="006410A3">
        <w:rPr>
          <w:rFonts w:cstheme="minorHAnsi"/>
          <w:sz w:val="24"/>
          <w:szCs w:val="24"/>
          <w:lang w:val="en-CA"/>
        </w:rPr>
        <w:t xml:space="preserve"> appears to be seeking to mislead this Tribunal by her perspective, a perspective that any ordinary person when viewing the evidence cannot possibly </w:t>
      </w:r>
      <w:r w:rsidR="007021F6" w:rsidRPr="006410A3">
        <w:rPr>
          <w:rFonts w:cstheme="minorHAnsi"/>
          <w:sz w:val="24"/>
          <w:szCs w:val="24"/>
          <w:lang w:val="en-CA"/>
        </w:rPr>
        <w:t>see</w:t>
      </w:r>
      <w:r w:rsidR="00742769">
        <w:rPr>
          <w:rFonts w:cstheme="minorHAnsi"/>
          <w:sz w:val="24"/>
          <w:szCs w:val="24"/>
          <w:lang w:val="en-CA"/>
        </w:rPr>
        <w:t xml:space="preserve"> or agree with</w:t>
      </w:r>
      <w:r w:rsidR="007021F6" w:rsidRPr="006410A3">
        <w:rPr>
          <w:rFonts w:cstheme="minorHAnsi"/>
          <w:sz w:val="24"/>
          <w:szCs w:val="24"/>
          <w:lang w:val="en-CA"/>
        </w:rPr>
        <w:t>.</w:t>
      </w:r>
    </w:p>
    <w:p w:rsidR="00372F27" w:rsidRPr="00372F27" w:rsidRDefault="00372F27" w:rsidP="00D74B29">
      <w:pPr>
        <w:pStyle w:val="ListParagraph"/>
        <w:spacing w:line="240" w:lineRule="auto"/>
        <w:rPr>
          <w:rFonts w:cstheme="minorHAnsi"/>
          <w:sz w:val="24"/>
          <w:szCs w:val="24"/>
          <w:lang w:val="en-CA"/>
        </w:rPr>
      </w:pPr>
    </w:p>
    <w:p w:rsidR="00C97286" w:rsidRPr="00372F27" w:rsidRDefault="007021F6" w:rsidP="00C94ECF">
      <w:pPr>
        <w:pStyle w:val="ListParagraph"/>
        <w:numPr>
          <w:ilvl w:val="0"/>
          <w:numId w:val="2"/>
        </w:numPr>
        <w:ind w:hanging="720"/>
        <w:rPr>
          <w:rFonts w:cstheme="minorHAnsi"/>
          <w:sz w:val="24"/>
          <w:szCs w:val="24"/>
          <w:lang w:val="en-CA"/>
        </w:rPr>
      </w:pPr>
      <w:r w:rsidRPr="00372F27">
        <w:rPr>
          <w:rFonts w:cstheme="minorHAnsi"/>
          <w:sz w:val="24"/>
          <w:szCs w:val="24"/>
          <w:lang w:val="en-CA"/>
        </w:rPr>
        <w:t xml:space="preserve">The </w:t>
      </w:r>
      <w:r w:rsidR="00902709">
        <w:rPr>
          <w:rFonts w:cstheme="minorHAnsi"/>
          <w:sz w:val="24"/>
          <w:szCs w:val="24"/>
          <w:lang w:val="en-CA"/>
        </w:rPr>
        <w:t>Applicant</w:t>
      </w:r>
      <w:r w:rsidR="00AC69C6">
        <w:rPr>
          <w:rFonts w:cstheme="minorHAnsi"/>
          <w:sz w:val="24"/>
          <w:szCs w:val="24"/>
          <w:lang w:val="en-CA"/>
        </w:rPr>
        <w:t xml:space="preserve"> </w:t>
      </w:r>
      <w:r w:rsidRPr="00372F27">
        <w:rPr>
          <w:rFonts w:cstheme="minorHAnsi"/>
          <w:sz w:val="24"/>
          <w:szCs w:val="24"/>
          <w:lang w:val="en-CA"/>
        </w:rPr>
        <w:t>candidly testified</w:t>
      </w:r>
      <w:r w:rsidR="00AC69C6">
        <w:rPr>
          <w:rFonts w:cstheme="minorHAnsi"/>
          <w:sz w:val="24"/>
          <w:szCs w:val="24"/>
          <w:lang w:val="en-CA"/>
        </w:rPr>
        <w:t xml:space="preserve"> he did not believe naming those officers </w:t>
      </w:r>
      <w:proofErr w:type="gramStart"/>
      <w:r w:rsidR="00AC69C6">
        <w:rPr>
          <w:rFonts w:cstheme="minorHAnsi"/>
          <w:sz w:val="24"/>
          <w:szCs w:val="24"/>
          <w:lang w:val="en-CA"/>
        </w:rPr>
        <w:t>were</w:t>
      </w:r>
      <w:proofErr w:type="gramEnd"/>
      <w:r w:rsidR="00AC69C6">
        <w:rPr>
          <w:rFonts w:cstheme="minorHAnsi"/>
          <w:sz w:val="24"/>
          <w:szCs w:val="24"/>
          <w:lang w:val="en-CA"/>
        </w:rPr>
        <w:t xml:space="preserve"> ethical and so he didn’t. The </w:t>
      </w:r>
      <w:r w:rsidR="00883BF1">
        <w:rPr>
          <w:rFonts w:cstheme="minorHAnsi"/>
          <w:sz w:val="24"/>
          <w:szCs w:val="24"/>
          <w:lang w:val="en-CA"/>
        </w:rPr>
        <w:t>Respondent</w:t>
      </w:r>
      <w:r w:rsidR="00AC69C6">
        <w:rPr>
          <w:rFonts w:cstheme="minorHAnsi"/>
          <w:sz w:val="24"/>
          <w:szCs w:val="24"/>
          <w:lang w:val="en-CA"/>
        </w:rPr>
        <w:t xml:space="preserve"> </w:t>
      </w:r>
      <w:r w:rsidR="00E66601" w:rsidRPr="00372F27">
        <w:rPr>
          <w:rFonts w:cstheme="minorHAnsi"/>
          <w:sz w:val="24"/>
          <w:szCs w:val="24"/>
          <w:lang w:val="en-CA"/>
        </w:rPr>
        <w:t>on the other hand, did not hold back anything. What a shame</w:t>
      </w:r>
      <w:r w:rsidR="0076796E" w:rsidRPr="00372F27">
        <w:rPr>
          <w:rFonts w:cstheme="minorHAnsi"/>
          <w:sz w:val="24"/>
          <w:szCs w:val="24"/>
          <w:lang w:val="en-CA"/>
        </w:rPr>
        <w:t>!</w:t>
      </w:r>
    </w:p>
    <w:p w:rsidR="00C97286" w:rsidRPr="00C97286" w:rsidRDefault="00C97286" w:rsidP="006410A3">
      <w:pPr>
        <w:pStyle w:val="ListParagraph"/>
        <w:spacing w:line="240" w:lineRule="auto"/>
        <w:rPr>
          <w:rFonts w:cstheme="minorHAnsi"/>
          <w:sz w:val="24"/>
          <w:szCs w:val="24"/>
          <w:lang w:val="en-CA"/>
        </w:rPr>
      </w:pPr>
    </w:p>
    <w:p w:rsidR="00C97286" w:rsidRDefault="00663DB3" w:rsidP="00C94ECF">
      <w:pPr>
        <w:pStyle w:val="ListParagraph"/>
        <w:numPr>
          <w:ilvl w:val="0"/>
          <w:numId w:val="2"/>
        </w:numPr>
        <w:ind w:hanging="720"/>
        <w:rPr>
          <w:rFonts w:cstheme="minorHAnsi"/>
          <w:sz w:val="24"/>
          <w:szCs w:val="24"/>
          <w:lang w:val="en-CA"/>
        </w:rPr>
      </w:pPr>
      <w:r w:rsidRPr="00C97286">
        <w:rPr>
          <w:rFonts w:cstheme="minorHAnsi"/>
          <w:sz w:val="24"/>
          <w:szCs w:val="24"/>
          <w:lang w:val="en-CA"/>
        </w:rPr>
        <w:t>With respect to item 91, t</w:t>
      </w:r>
      <w:r w:rsidR="007021F6" w:rsidRPr="00C97286">
        <w:rPr>
          <w:rFonts w:cstheme="minorHAnsi"/>
          <w:sz w:val="24"/>
          <w:szCs w:val="24"/>
          <w:lang w:val="en-CA"/>
        </w:rPr>
        <w:t>he only thing Flindall did not agree with</w:t>
      </w:r>
      <w:r w:rsidR="00D75718" w:rsidRPr="00C97286">
        <w:rPr>
          <w:rFonts w:cstheme="minorHAnsi"/>
          <w:sz w:val="24"/>
          <w:szCs w:val="24"/>
          <w:lang w:val="en-CA"/>
        </w:rPr>
        <w:t xml:space="preserve"> </w:t>
      </w:r>
      <w:r w:rsidR="0076796E" w:rsidRPr="00C97286">
        <w:rPr>
          <w:rFonts w:cstheme="minorHAnsi"/>
          <w:sz w:val="24"/>
          <w:szCs w:val="24"/>
          <w:lang w:val="en-CA"/>
        </w:rPr>
        <w:t>w</w:t>
      </w:r>
      <w:r w:rsidR="007021F6" w:rsidRPr="00C97286">
        <w:rPr>
          <w:rFonts w:cstheme="minorHAnsi"/>
          <w:sz w:val="24"/>
          <w:szCs w:val="24"/>
          <w:lang w:val="en-CA"/>
        </w:rPr>
        <w:t>hen cross examined on his threat to Jack losing his job was the use of the word ‘</w:t>
      </w:r>
      <w:r w:rsidR="00AC69C6">
        <w:rPr>
          <w:rFonts w:cstheme="minorHAnsi"/>
          <w:sz w:val="24"/>
          <w:szCs w:val="24"/>
          <w:lang w:val="en-CA"/>
        </w:rPr>
        <w:t>incompetence’. He denied saying</w:t>
      </w:r>
      <w:r w:rsidR="007021F6" w:rsidRPr="00C97286">
        <w:rPr>
          <w:rFonts w:cstheme="minorHAnsi"/>
          <w:sz w:val="24"/>
          <w:szCs w:val="24"/>
          <w:lang w:val="en-CA"/>
        </w:rPr>
        <w:t>, ‘</w:t>
      </w:r>
      <w:r w:rsidRPr="00C97286">
        <w:rPr>
          <w:rFonts w:cstheme="minorHAnsi"/>
          <w:i/>
          <w:iCs/>
          <w:sz w:val="24"/>
          <w:szCs w:val="24"/>
          <w:lang w:val="en-CA"/>
        </w:rPr>
        <w:t>I have never seen such incompetence in a recruit before</w:t>
      </w:r>
      <w:r w:rsidR="007021F6" w:rsidRPr="00C97286">
        <w:rPr>
          <w:rFonts w:cstheme="minorHAnsi"/>
          <w:i/>
          <w:iCs/>
          <w:sz w:val="24"/>
          <w:szCs w:val="24"/>
          <w:lang w:val="en-CA"/>
        </w:rPr>
        <w:t>’</w:t>
      </w:r>
      <w:r w:rsidRPr="00C97286">
        <w:rPr>
          <w:rStyle w:val="FootnoteReference"/>
          <w:rFonts w:cstheme="minorHAnsi"/>
          <w:sz w:val="24"/>
          <w:szCs w:val="24"/>
          <w:lang w:val="en-CA"/>
        </w:rPr>
        <w:footnoteReference w:id="55"/>
      </w:r>
      <w:r w:rsidR="007021F6" w:rsidRPr="00C97286">
        <w:rPr>
          <w:rFonts w:cstheme="minorHAnsi"/>
          <w:sz w:val="24"/>
          <w:szCs w:val="24"/>
          <w:lang w:val="en-CA"/>
        </w:rPr>
        <w:t xml:space="preserve"> He said that he may have said ‘</w:t>
      </w:r>
      <w:r w:rsidRPr="00C97286">
        <w:rPr>
          <w:rFonts w:cstheme="minorHAnsi"/>
          <w:i/>
          <w:iCs/>
          <w:sz w:val="24"/>
          <w:szCs w:val="24"/>
          <w:lang w:val="en-CA"/>
        </w:rPr>
        <w:t xml:space="preserve">Never seen such blatant violation of direction’ </w:t>
      </w:r>
      <w:r w:rsidR="007021F6" w:rsidRPr="00C97286">
        <w:rPr>
          <w:rFonts w:cstheme="minorHAnsi"/>
          <w:sz w:val="24"/>
          <w:szCs w:val="24"/>
          <w:lang w:val="en-CA"/>
        </w:rPr>
        <w:t xml:space="preserve">and explains why he may have said something like that. </w:t>
      </w:r>
      <w:r w:rsidR="00AC69C6">
        <w:rPr>
          <w:rFonts w:cstheme="minorHAnsi"/>
          <w:sz w:val="24"/>
          <w:szCs w:val="24"/>
          <w:lang w:val="en-CA"/>
        </w:rPr>
        <w:t xml:space="preserve">It is also full of anger. The </w:t>
      </w:r>
      <w:r w:rsidR="007021F6" w:rsidRPr="00C97286">
        <w:rPr>
          <w:rFonts w:cstheme="minorHAnsi"/>
          <w:sz w:val="24"/>
          <w:szCs w:val="24"/>
          <w:lang w:val="en-CA"/>
        </w:rPr>
        <w:t xml:space="preserve">word ‘incompetence’ is not a word the </w:t>
      </w:r>
      <w:r w:rsidR="00902709">
        <w:rPr>
          <w:rFonts w:cstheme="minorHAnsi"/>
          <w:sz w:val="24"/>
          <w:szCs w:val="24"/>
          <w:lang w:val="en-CA"/>
        </w:rPr>
        <w:t>Applicant</w:t>
      </w:r>
      <w:r w:rsidR="007021F6" w:rsidRPr="00C97286">
        <w:rPr>
          <w:rFonts w:cstheme="minorHAnsi"/>
          <w:sz w:val="24"/>
          <w:szCs w:val="24"/>
          <w:lang w:val="en-CA"/>
        </w:rPr>
        <w:t xml:space="preserve"> would use to describe himself</w:t>
      </w:r>
      <w:r w:rsidR="00AC69C6">
        <w:rPr>
          <w:rFonts w:cstheme="minorHAnsi"/>
          <w:sz w:val="24"/>
          <w:szCs w:val="24"/>
          <w:lang w:val="en-CA"/>
        </w:rPr>
        <w:t xml:space="preserve"> and it is not normal for any person to use such a word to describe themselves. </w:t>
      </w:r>
      <w:r w:rsidR="007021F6" w:rsidRPr="00C97286">
        <w:rPr>
          <w:rFonts w:cstheme="minorHAnsi"/>
          <w:sz w:val="24"/>
          <w:szCs w:val="24"/>
          <w:lang w:val="en-CA"/>
        </w:rPr>
        <w:t xml:space="preserve"> </w:t>
      </w:r>
      <w:r w:rsidR="00480C99">
        <w:rPr>
          <w:rFonts w:cstheme="minorHAnsi"/>
          <w:sz w:val="24"/>
          <w:szCs w:val="24"/>
          <w:lang w:val="en-CA"/>
        </w:rPr>
        <w:t>‘</w:t>
      </w:r>
      <w:r w:rsidR="00480C99" w:rsidRPr="00480C99">
        <w:rPr>
          <w:rFonts w:cstheme="minorHAnsi"/>
          <w:i/>
          <w:sz w:val="24"/>
          <w:szCs w:val="24"/>
          <w:lang w:val="en-CA"/>
        </w:rPr>
        <w:t>Never seen such blatant violation of direction</w:t>
      </w:r>
      <w:r w:rsidR="00480C99">
        <w:rPr>
          <w:rFonts w:cstheme="minorHAnsi"/>
          <w:sz w:val="24"/>
          <w:szCs w:val="24"/>
          <w:lang w:val="en-CA"/>
        </w:rPr>
        <w:t xml:space="preserve">’ begets ‘incompetence’ and it was </w:t>
      </w:r>
      <w:r w:rsidR="007021F6" w:rsidRPr="00C97286">
        <w:rPr>
          <w:rFonts w:cstheme="minorHAnsi"/>
          <w:sz w:val="24"/>
          <w:szCs w:val="24"/>
          <w:lang w:val="en-CA"/>
        </w:rPr>
        <w:t xml:space="preserve">a word Flindall </w:t>
      </w:r>
      <w:r w:rsidR="00785203" w:rsidRPr="00C97286">
        <w:rPr>
          <w:rFonts w:cstheme="minorHAnsi"/>
          <w:sz w:val="24"/>
          <w:szCs w:val="24"/>
          <w:lang w:val="en-CA"/>
        </w:rPr>
        <w:t>use</w:t>
      </w:r>
      <w:r w:rsidRPr="00C97286">
        <w:rPr>
          <w:rFonts w:cstheme="minorHAnsi"/>
          <w:sz w:val="24"/>
          <w:szCs w:val="24"/>
          <w:lang w:val="en-CA"/>
        </w:rPr>
        <w:t>d</w:t>
      </w:r>
      <w:r w:rsidR="00785203" w:rsidRPr="00C97286">
        <w:rPr>
          <w:rFonts w:cstheme="minorHAnsi"/>
          <w:sz w:val="24"/>
          <w:szCs w:val="24"/>
          <w:lang w:val="en-CA"/>
        </w:rPr>
        <w:t xml:space="preserve"> based on his strong dislike of the </w:t>
      </w:r>
      <w:r w:rsidR="00902709">
        <w:rPr>
          <w:rFonts w:cstheme="minorHAnsi"/>
          <w:sz w:val="24"/>
          <w:szCs w:val="24"/>
          <w:lang w:val="en-CA"/>
        </w:rPr>
        <w:t>Applicant</w:t>
      </w:r>
      <w:r w:rsidR="00785203" w:rsidRPr="00C97286">
        <w:rPr>
          <w:rFonts w:cstheme="minorHAnsi"/>
          <w:sz w:val="24"/>
          <w:szCs w:val="24"/>
          <w:lang w:val="en-CA"/>
        </w:rPr>
        <w:t xml:space="preserve"> and his explanation of why he may have said something like that.</w:t>
      </w:r>
      <w:r w:rsidR="00785203" w:rsidRPr="00C97286">
        <w:rPr>
          <w:rStyle w:val="FootnoteReference"/>
          <w:rFonts w:cstheme="minorHAnsi"/>
          <w:sz w:val="24"/>
          <w:szCs w:val="24"/>
          <w:lang w:val="en-CA"/>
        </w:rPr>
        <w:footnoteReference w:id="56"/>
      </w:r>
      <w:r w:rsidR="00785203" w:rsidRPr="00C97286">
        <w:rPr>
          <w:rFonts w:cstheme="minorHAnsi"/>
          <w:sz w:val="24"/>
          <w:szCs w:val="24"/>
          <w:lang w:val="en-CA"/>
        </w:rPr>
        <w:t xml:space="preserve"> </w:t>
      </w:r>
      <w:r w:rsidR="00AC69C6">
        <w:rPr>
          <w:rFonts w:cstheme="minorHAnsi"/>
          <w:sz w:val="24"/>
          <w:szCs w:val="24"/>
          <w:lang w:val="en-CA"/>
        </w:rPr>
        <w:t xml:space="preserve"> </w:t>
      </w:r>
    </w:p>
    <w:p w:rsidR="00C97286" w:rsidRPr="00C97286" w:rsidRDefault="00C97286" w:rsidP="00D74B29">
      <w:pPr>
        <w:pStyle w:val="ListParagraph"/>
        <w:spacing w:line="240" w:lineRule="auto"/>
        <w:rPr>
          <w:rFonts w:cstheme="minorHAnsi"/>
          <w:sz w:val="24"/>
          <w:szCs w:val="24"/>
        </w:rPr>
      </w:pPr>
    </w:p>
    <w:p w:rsidR="00C97286" w:rsidRPr="00C97286" w:rsidRDefault="00C97286" w:rsidP="00D74B29">
      <w:pPr>
        <w:pStyle w:val="ListParagraph"/>
        <w:numPr>
          <w:ilvl w:val="0"/>
          <w:numId w:val="2"/>
        </w:numPr>
        <w:ind w:hanging="720"/>
        <w:rPr>
          <w:rFonts w:cstheme="minorHAnsi"/>
          <w:sz w:val="24"/>
          <w:szCs w:val="24"/>
          <w:lang w:val="en-CA"/>
        </w:rPr>
      </w:pPr>
      <w:r w:rsidRPr="00C97286">
        <w:rPr>
          <w:rFonts w:cstheme="minorHAnsi"/>
          <w:sz w:val="24"/>
          <w:szCs w:val="24"/>
        </w:rPr>
        <w:t xml:space="preserve">Flindall negatively documented the </w:t>
      </w:r>
      <w:r w:rsidR="00902709">
        <w:rPr>
          <w:rFonts w:cstheme="minorHAnsi"/>
          <w:sz w:val="24"/>
          <w:szCs w:val="24"/>
        </w:rPr>
        <w:t>Applicant</w:t>
      </w:r>
      <w:r w:rsidRPr="00C97286">
        <w:rPr>
          <w:rFonts w:cstheme="minorHAnsi"/>
          <w:sz w:val="24"/>
          <w:szCs w:val="24"/>
        </w:rPr>
        <w:t xml:space="preserve"> for handling the criminal harassment case that </w:t>
      </w:r>
      <w:r w:rsidR="00D74B29">
        <w:rPr>
          <w:rFonts w:cstheme="minorHAnsi"/>
          <w:sz w:val="24"/>
          <w:szCs w:val="24"/>
        </w:rPr>
        <w:t xml:space="preserve">was not even </w:t>
      </w:r>
      <w:r w:rsidRPr="00C97286">
        <w:rPr>
          <w:rFonts w:cstheme="minorHAnsi"/>
          <w:sz w:val="24"/>
          <w:szCs w:val="24"/>
        </w:rPr>
        <w:t>substantiated.</w:t>
      </w:r>
      <w:r w:rsidRPr="00C97286">
        <w:rPr>
          <w:vertAlign w:val="superscript"/>
        </w:rPr>
        <w:footnoteReference w:id="57"/>
      </w:r>
      <w:r w:rsidRPr="00C97286">
        <w:rPr>
          <w:rFonts w:cstheme="minorHAnsi"/>
          <w:sz w:val="24"/>
          <w:szCs w:val="24"/>
        </w:rPr>
        <w:t xml:space="preserve"> Flindall alleged that the nature of the criminal harassment case that he assigned to the </w:t>
      </w:r>
      <w:r w:rsidR="00902709">
        <w:rPr>
          <w:rFonts w:cstheme="minorHAnsi"/>
          <w:sz w:val="24"/>
          <w:szCs w:val="24"/>
        </w:rPr>
        <w:t>Applicant</w:t>
      </w:r>
      <w:r w:rsidRPr="00C97286">
        <w:rPr>
          <w:rFonts w:cstheme="minorHAnsi"/>
          <w:sz w:val="24"/>
          <w:szCs w:val="24"/>
        </w:rPr>
        <w:t xml:space="preserve"> was quite serious</w:t>
      </w:r>
      <w:r w:rsidR="00D74B29">
        <w:rPr>
          <w:rFonts w:cstheme="minorHAnsi"/>
          <w:sz w:val="24"/>
          <w:szCs w:val="24"/>
        </w:rPr>
        <w:t>,</w:t>
      </w:r>
      <w:r w:rsidRPr="00C97286">
        <w:rPr>
          <w:vertAlign w:val="superscript"/>
        </w:rPr>
        <w:footnoteReference w:id="58"/>
      </w:r>
      <w:r w:rsidR="00D74B29">
        <w:rPr>
          <w:rFonts w:cstheme="minorHAnsi"/>
          <w:sz w:val="24"/>
          <w:szCs w:val="24"/>
        </w:rPr>
        <w:t xml:space="preserve"> yet in reality it was not</w:t>
      </w:r>
      <w:r w:rsidRPr="00C97286">
        <w:rPr>
          <w:rFonts w:cstheme="minorHAnsi"/>
          <w:sz w:val="24"/>
          <w:szCs w:val="24"/>
        </w:rPr>
        <w:t>.</w:t>
      </w:r>
      <w:r w:rsidRPr="00C97286">
        <w:rPr>
          <w:vertAlign w:val="superscript"/>
        </w:rPr>
        <w:footnoteReference w:id="59"/>
      </w:r>
      <w:r w:rsidRPr="00C97286">
        <w:rPr>
          <w:rFonts w:cstheme="minorHAnsi"/>
          <w:sz w:val="24"/>
          <w:szCs w:val="24"/>
        </w:rPr>
        <w:t xml:space="preserve"> </w:t>
      </w:r>
      <w:r w:rsidR="00D74B29">
        <w:rPr>
          <w:rFonts w:cstheme="minorHAnsi"/>
          <w:sz w:val="24"/>
          <w:szCs w:val="24"/>
        </w:rPr>
        <w:t>Furthermore, t</w:t>
      </w:r>
      <w:r w:rsidRPr="00C97286">
        <w:rPr>
          <w:rFonts w:cstheme="minorHAnsi"/>
          <w:sz w:val="24"/>
          <w:szCs w:val="24"/>
        </w:rPr>
        <w:t xml:space="preserve">here was no legal authority to hold the accused for a bail hearing. Hence, the order Flindall gave to the </w:t>
      </w:r>
      <w:r w:rsidR="00902709">
        <w:rPr>
          <w:rFonts w:cstheme="minorHAnsi"/>
          <w:sz w:val="24"/>
          <w:szCs w:val="24"/>
        </w:rPr>
        <w:t>Applicant</w:t>
      </w:r>
      <w:r w:rsidRPr="00C97286">
        <w:rPr>
          <w:rFonts w:cstheme="minorHAnsi"/>
          <w:sz w:val="24"/>
          <w:szCs w:val="24"/>
        </w:rPr>
        <w:t xml:space="preserve"> to hold the accused for a bail hearing was unlawful.</w:t>
      </w:r>
      <w:r w:rsidRPr="00C97286">
        <w:rPr>
          <w:vertAlign w:val="superscript"/>
        </w:rPr>
        <w:footnoteReference w:id="60"/>
      </w:r>
      <w:r w:rsidRPr="00C97286">
        <w:rPr>
          <w:rFonts w:cstheme="minorHAnsi"/>
          <w:sz w:val="24"/>
          <w:szCs w:val="24"/>
        </w:rPr>
        <w:t xml:space="preserve"> The outcome of the criminal harassment investigation was a Peace Bond</w:t>
      </w:r>
      <w:r w:rsidRPr="00C97286">
        <w:rPr>
          <w:vertAlign w:val="superscript"/>
        </w:rPr>
        <w:footnoteReference w:id="61"/>
      </w:r>
      <w:r w:rsidRPr="00C97286">
        <w:rPr>
          <w:rFonts w:cstheme="minorHAnsi"/>
          <w:sz w:val="24"/>
          <w:szCs w:val="24"/>
        </w:rPr>
        <w:t xml:space="preserve"> and Flindall was negatively documented by Campbell regarding overseeing that criminal harassment case.</w:t>
      </w:r>
      <w:r w:rsidRPr="00C97286">
        <w:rPr>
          <w:vertAlign w:val="superscript"/>
        </w:rPr>
        <w:footnoteReference w:id="62"/>
      </w:r>
      <w:r w:rsidRPr="00C97286">
        <w:rPr>
          <w:rFonts w:cstheme="minorHAnsi"/>
          <w:sz w:val="24"/>
          <w:szCs w:val="24"/>
        </w:rPr>
        <w:t xml:space="preserve"> </w:t>
      </w:r>
    </w:p>
    <w:p w:rsidR="00C97286" w:rsidRPr="000F7992" w:rsidRDefault="00C97286" w:rsidP="00D74B29">
      <w:pPr>
        <w:pStyle w:val="ListParagraph"/>
        <w:spacing w:line="240" w:lineRule="auto"/>
        <w:rPr>
          <w:rFonts w:cstheme="minorHAnsi"/>
          <w:sz w:val="24"/>
          <w:szCs w:val="24"/>
          <w:lang w:val="en-CA"/>
        </w:rPr>
      </w:pPr>
    </w:p>
    <w:p w:rsidR="00D64729" w:rsidRPr="00D64729" w:rsidRDefault="00730983" w:rsidP="00C94ECF">
      <w:pPr>
        <w:pStyle w:val="ListParagraph"/>
        <w:numPr>
          <w:ilvl w:val="0"/>
          <w:numId w:val="2"/>
        </w:numPr>
        <w:ind w:hanging="720"/>
        <w:rPr>
          <w:rFonts w:cstheme="minorHAnsi"/>
          <w:sz w:val="24"/>
          <w:szCs w:val="24"/>
          <w:lang w:val="en-CA"/>
        </w:rPr>
      </w:pPr>
      <w:r w:rsidRPr="00730983">
        <w:rPr>
          <w:rFonts w:cstheme="minorHAnsi"/>
          <w:sz w:val="24"/>
          <w:szCs w:val="24"/>
          <w:lang w:val="en-CA"/>
        </w:rPr>
        <w:t>With respect to item 92,</w:t>
      </w:r>
      <w:r>
        <w:rPr>
          <w:rFonts w:cstheme="minorHAnsi"/>
          <w:i/>
          <w:iCs/>
          <w:sz w:val="24"/>
          <w:szCs w:val="24"/>
          <w:lang w:val="en-CA"/>
        </w:rPr>
        <w:t xml:space="preserve"> </w:t>
      </w:r>
      <w:r w:rsidR="00785203" w:rsidRPr="00957292">
        <w:rPr>
          <w:rFonts w:cstheme="minorHAnsi"/>
          <w:i/>
          <w:iCs/>
          <w:sz w:val="24"/>
          <w:szCs w:val="24"/>
          <w:lang w:val="en-CA"/>
        </w:rPr>
        <w:t>‘Jack refused to sign it on the basis that he disagreed with everything in it’</w:t>
      </w:r>
      <w:r w:rsidR="00785203" w:rsidRPr="00957292">
        <w:rPr>
          <w:rFonts w:cstheme="minorHAnsi"/>
          <w:sz w:val="24"/>
          <w:szCs w:val="24"/>
          <w:lang w:val="en-CA"/>
        </w:rPr>
        <w:t xml:space="preserve"> is </w:t>
      </w:r>
      <w:r>
        <w:rPr>
          <w:rFonts w:cstheme="minorHAnsi"/>
          <w:sz w:val="24"/>
          <w:szCs w:val="24"/>
          <w:lang w:val="en-CA"/>
        </w:rPr>
        <w:t xml:space="preserve">simply not true. </w:t>
      </w:r>
      <w:r w:rsidR="00A81F10" w:rsidRPr="00957292">
        <w:rPr>
          <w:rFonts w:cstheme="minorHAnsi"/>
          <w:sz w:val="24"/>
          <w:szCs w:val="24"/>
          <w:lang w:val="en-CA"/>
        </w:rPr>
        <w:t xml:space="preserve">It has been </w:t>
      </w:r>
      <w:r w:rsidR="00480C99">
        <w:rPr>
          <w:rFonts w:cstheme="minorHAnsi"/>
          <w:sz w:val="24"/>
          <w:szCs w:val="24"/>
          <w:lang w:val="en-CA"/>
        </w:rPr>
        <w:t xml:space="preserve">the </w:t>
      </w:r>
      <w:r w:rsidR="00902709">
        <w:rPr>
          <w:rFonts w:cstheme="minorHAnsi"/>
          <w:sz w:val="24"/>
          <w:szCs w:val="24"/>
          <w:lang w:val="en-CA"/>
        </w:rPr>
        <w:t>Applicant</w:t>
      </w:r>
      <w:r w:rsidR="00957292">
        <w:rPr>
          <w:rFonts w:cstheme="minorHAnsi"/>
          <w:sz w:val="24"/>
          <w:szCs w:val="24"/>
          <w:lang w:val="en-CA"/>
        </w:rPr>
        <w:t>’s</w:t>
      </w:r>
      <w:r w:rsidR="00A81F10" w:rsidRPr="00957292">
        <w:rPr>
          <w:rFonts w:cstheme="minorHAnsi"/>
          <w:sz w:val="24"/>
          <w:szCs w:val="24"/>
          <w:lang w:val="en-CA"/>
        </w:rPr>
        <w:t xml:space="preserve"> testimony all along that he never ref</w:t>
      </w:r>
      <w:r w:rsidR="00957292">
        <w:rPr>
          <w:rFonts w:cstheme="minorHAnsi"/>
          <w:sz w:val="24"/>
          <w:szCs w:val="24"/>
          <w:lang w:val="en-CA"/>
        </w:rPr>
        <w:t xml:space="preserve">used to </w:t>
      </w:r>
      <w:r w:rsidR="00957292">
        <w:rPr>
          <w:rFonts w:cstheme="minorHAnsi"/>
          <w:sz w:val="24"/>
          <w:szCs w:val="24"/>
          <w:lang w:val="en-CA"/>
        </w:rPr>
        <w:lastRenderedPageBreak/>
        <w:t xml:space="preserve">sign his Month 6/7 PER upon </w:t>
      </w:r>
      <w:r w:rsidR="00957292" w:rsidRPr="00957292">
        <w:rPr>
          <w:rFonts w:cstheme="minorHAnsi"/>
          <w:sz w:val="24"/>
          <w:szCs w:val="24"/>
        </w:rPr>
        <w:t xml:space="preserve">being served it by Flindall. Due to its shocking content and artificially </w:t>
      </w:r>
      <w:r>
        <w:rPr>
          <w:rFonts w:cstheme="minorHAnsi"/>
          <w:sz w:val="24"/>
          <w:szCs w:val="24"/>
        </w:rPr>
        <w:t>imposed time limit to review (</w:t>
      </w:r>
      <w:r w:rsidR="00957292" w:rsidRPr="00957292">
        <w:rPr>
          <w:rFonts w:cstheme="minorHAnsi"/>
          <w:sz w:val="24"/>
          <w:szCs w:val="24"/>
        </w:rPr>
        <w:t xml:space="preserve">sign and return it </w:t>
      </w:r>
      <w:r>
        <w:rPr>
          <w:rFonts w:cstheme="minorHAnsi"/>
          <w:sz w:val="24"/>
          <w:szCs w:val="24"/>
        </w:rPr>
        <w:t>within 20 minutes)</w:t>
      </w:r>
      <w:r w:rsidR="00D74B29">
        <w:rPr>
          <w:rStyle w:val="FootnoteReference"/>
          <w:rFonts w:cstheme="minorHAnsi"/>
          <w:sz w:val="24"/>
          <w:szCs w:val="24"/>
        </w:rPr>
        <w:footnoteReference w:id="63"/>
      </w:r>
      <w:r w:rsidR="00957292" w:rsidRPr="00957292">
        <w:rPr>
          <w:rFonts w:cstheme="minorHAnsi"/>
          <w:sz w:val="24"/>
          <w:szCs w:val="24"/>
        </w:rPr>
        <w:t xml:space="preserve"> </w:t>
      </w:r>
      <w:r w:rsidR="00957292">
        <w:rPr>
          <w:rFonts w:cstheme="minorHAnsi"/>
          <w:sz w:val="24"/>
          <w:szCs w:val="24"/>
        </w:rPr>
        <w:t xml:space="preserve">the </w:t>
      </w:r>
      <w:r w:rsidR="00902709">
        <w:rPr>
          <w:rFonts w:cstheme="minorHAnsi"/>
          <w:sz w:val="24"/>
          <w:szCs w:val="24"/>
        </w:rPr>
        <w:t>Applicant</w:t>
      </w:r>
      <w:r w:rsidR="00957292">
        <w:rPr>
          <w:rFonts w:cstheme="minorHAnsi"/>
          <w:sz w:val="24"/>
          <w:szCs w:val="24"/>
        </w:rPr>
        <w:t xml:space="preserve"> contacted </w:t>
      </w:r>
      <w:r w:rsidR="00957292" w:rsidRPr="00957292">
        <w:rPr>
          <w:rFonts w:cstheme="minorHAnsi"/>
          <w:sz w:val="24"/>
          <w:szCs w:val="24"/>
          <w:lang w:val="en-CA"/>
        </w:rPr>
        <w:t>the president of the OPPA 8</w:t>
      </w:r>
      <w:r w:rsidR="00957292" w:rsidRPr="00957292">
        <w:rPr>
          <w:rFonts w:cstheme="minorHAnsi"/>
          <w:sz w:val="24"/>
          <w:szCs w:val="24"/>
          <w:vertAlign w:val="superscript"/>
          <w:lang w:val="en-CA"/>
        </w:rPr>
        <w:t>th</w:t>
      </w:r>
      <w:r w:rsidR="00957292">
        <w:rPr>
          <w:rFonts w:cstheme="minorHAnsi"/>
          <w:sz w:val="24"/>
          <w:szCs w:val="24"/>
          <w:lang w:val="en-CA"/>
        </w:rPr>
        <w:t xml:space="preserve"> branch D/</w:t>
      </w:r>
      <w:proofErr w:type="spellStart"/>
      <w:r w:rsidR="00957292">
        <w:rPr>
          <w:rFonts w:cstheme="minorHAnsi"/>
          <w:sz w:val="24"/>
          <w:szCs w:val="24"/>
          <w:lang w:val="en-CA"/>
        </w:rPr>
        <w:t>Cst</w:t>
      </w:r>
      <w:proofErr w:type="spellEnd"/>
      <w:r w:rsidR="00957292">
        <w:rPr>
          <w:rFonts w:cstheme="minorHAnsi"/>
          <w:sz w:val="24"/>
          <w:szCs w:val="24"/>
          <w:lang w:val="en-CA"/>
        </w:rPr>
        <w:t>. Keren German and u</w:t>
      </w:r>
      <w:r w:rsidR="00957292" w:rsidRPr="00957292">
        <w:rPr>
          <w:rFonts w:cstheme="minorHAnsi"/>
          <w:sz w:val="24"/>
          <w:szCs w:val="24"/>
          <w:lang w:val="en-CA"/>
        </w:rPr>
        <w:t xml:space="preserve">pon explicit and unequivocal direction from </w:t>
      </w:r>
      <w:r w:rsidR="00957292">
        <w:rPr>
          <w:rFonts w:cstheme="minorHAnsi"/>
          <w:sz w:val="24"/>
          <w:szCs w:val="24"/>
          <w:lang w:val="en-CA"/>
        </w:rPr>
        <w:t xml:space="preserve">her he </w:t>
      </w:r>
      <w:r w:rsidR="00957292" w:rsidRPr="00957292">
        <w:rPr>
          <w:rFonts w:cstheme="minorHAnsi"/>
          <w:sz w:val="24"/>
          <w:szCs w:val="24"/>
          <w:lang w:val="en-CA"/>
        </w:rPr>
        <w:t xml:space="preserve">simply asked </w:t>
      </w:r>
      <w:r>
        <w:rPr>
          <w:rFonts w:cstheme="minorHAnsi"/>
          <w:sz w:val="24"/>
          <w:szCs w:val="24"/>
          <w:lang w:val="en-CA"/>
        </w:rPr>
        <w:t xml:space="preserve">Flindall </w:t>
      </w:r>
      <w:r w:rsidR="00957292" w:rsidRPr="00957292">
        <w:rPr>
          <w:rFonts w:cstheme="minorHAnsi"/>
          <w:sz w:val="24"/>
          <w:szCs w:val="24"/>
          <w:lang w:val="en-CA"/>
        </w:rPr>
        <w:t xml:space="preserve">to exercise his lawful right to have </w:t>
      </w:r>
      <w:r>
        <w:rPr>
          <w:rFonts w:cstheme="minorHAnsi"/>
          <w:sz w:val="24"/>
          <w:szCs w:val="24"/>
          <w:lang w:val="en-CA"/>
        </w:rPr>
        <w:t xml:space="preserve">more time to review it and to have </w:t>
      </w:r>
      <w:r w:rsidR="00957292" w:rsidRPr="00957292">
        <w:rPr>
          <w:rFonts w:cstheme="minorHAnsi"/>
          <w:sz w:val="24"/>
          <w:szCs w:val="24"/>
          <w:lang w:val="en-CA"/>
        </w:rPr>
        <w:t>it reviewed by an OPPA representative prior to signing it.</w:t>
      </w:r>
      <w:r w:rsidR="00957292" w:rsidRPr="00957292">
        <w:rPr>
          <w:rStyle w:val="FootnoteReference"/>
          <w:rFonts w:cstheme="minorHAnsi"/>
          <w:sz w:val="24"/>
          <w:szCs w:val="24"/>
        </w:rPr>
        <w:footnoteReference w:id="64"/>
      </w:r>
      <w:r w:rsidR="00957292" w:rsidRPr="00957292">
        <w:rPr>
          <w:rFonts w:cstheme="minorHAnsi"/>
          <w:sz w:val="24"/>
          <w:szCs w:val="24"/>
        </w:rPr>
        <w:t xml:space="preserve"> He was denied that.</w:t>
      </w:r>
      <w:r w:rsidR="00957292" w:rsidRPr="00957292">
        <w:rPr>
          <w:rStyle w:val="FootnoteReference"/>
          <w:rFonts w:cstheme="minorHAnsi"/>
          <w:sz w:val="24"/>
          <w:szCs w:val="24"/>
        </w:rPr>
        <w:footnoteReference w:id="65"/>
      </w:r>
    </w:p>
    <w:p w:rsidR="00D64729" w:rsidRPr="00D64729" w:rsidRDefault="00D64729" w:rsidP="00BD5A89">
      <w:pPr>
        <w:pStyle w:val="ListParagraph"/>
        <w:spacing w:line="240" w:lineRule="auto"/>
        <w:rPr>
          <w:rFonts w:cstheme="minorHAnsi"/>
          <w:sz w:val="24"/>
          <w:szCs w:val="24"/>
          <w:lang w:val="en-CA"/>
        </w:rPr>
      </w:pPr>
    </w:p>
    <w:p w:rsidR="00BD5A89" w:rsidRPr="00BD5A89" w:rsidRDefault="00D64729" w:rsidP="00BD5A89">
      <w:pPr>
        <w:pStyle w:val="ListParagraph"/>
        <w:numPr>
          <w:ilvl w:val="0"/>
          <w:numId w:val="2"/>
        </w:numPr>
        <w:ind w:hanging="720"/>
        <w:rPr>
          <w:rFonts w:cstheme="minorHAnsi"/>
          <w:sz w:val="24"/>
          <w:szCs w:val="24"/>
          <w:lang w:val="en-CA"/>
        </w:rPr>
      </w:pPr>
      <w:r w:rsidRPr="00D64729">
        <w:rPr>
          <w:rFonts w:cstheme="minorHAnsi"/>
          <w:sz w:val="24"/>
          <w:szCs w:val="24"/>
          <w:lang w:val="en-CA"/>
        </w:rPr>
        <w:t xml:space="preserve">With respect to item 93, </w:t>
      </w:r>
      <w:r w:rsidR="00C174AA" w:rsidRPr="00D64729">
        <w:rPr>
          <w:rFonts w:cstheme="minorHAnsi"/>
          <w:sz w:val="24"/>
          <w:szCs w:val="24"/>
          <w:lang w:val="en-CA"/>
        </w:rPr>
        <w:t xml:space="preserve">Flindall’s words are nothing but a pathetic </w:t>
      </w:r>
      <w:r w:rsidR="00480C99">
        <w:rPr>
          <w:rFonts w:cstheme="minorHAnsi"/>
          <w:sz w:val="24"/>
          <w:szCs w:val="24"/>
          <w:lang w:val="en-CA"/>
        </w:rPr>
        <w:t>excuse for neglecting his duty</w:t>
      </w:r>
      <w:r w:rsidR="00C174AA" w:rsidRPr="00D64729">
        <w:rPr>
          <w:rFonts w:cstheme="minorHAnsi"/>
          <w:sz w:val="24"/>
          <w:szCs w:val="24"/>
          <w:lang w:val="en-CA"/>
        </w:rPr>
        <w:t xml:space="preserve"> in mentoring and supervising the </w:t>
      </w:r>
      <w:r w:rsidR="00902709">
        <w:rPr>
          <w:rFonts w:cstheme="minorHAnsi"/>
          <w:sz w:val="24"/>
          <w:szCs w:val="24"/>
          <w:lang w:val="en-CA"/>
        </w:rPr>
        <w:t>Applicant</w:t>
      </w:r>
      <w:r w:rsidR="00C174AA" w:rsidRPr="00D64729">
        <w:rPr>
          <w:rFonts w:cstheme="minorHAnsi"/>
          <w:sz w:val="24"/>
          <w:szCs w:val="24"/>
          <w:lang w:val="en-CA"/>
        </w:rPr>
        <w:t xml:space="preserve"> properly. H</w:t>
      </w:r>
      <w:r w:rsidR="00BD5A89">
        <w:rPr>
          <w:rFonts w:cstheme="minorHAnsi"/>
          <w:sz w:val="24"/>
          <w:szCs w:val="24"/>
          <w:lang w:val="en-CA"/>
        </w:rPr>
        <w:t xml:space="preserve">ad Flindall fulfilled his mandated </w:t>
      </w:r>
      <w:r w:rsidR="00C174AA" w:rsidRPr="00D64729">
        <w:rPr>
          <w:rFonts w:cstheme="minorHAnsi"/>
          <w:sz w:val="24"/>
          <w:szCs w:val="24"/>
          <w:lang w:val="en-CA"/>
        </w:rPr>
        <w:t xml:space="preserve">responsibilities towards the </w:t>
      </w:r>
      <w:r w:rsidR="00902709">
        <w:rPr>
          <w:rFonts w:cstheme="minorHAnsi"/>
          <w:sz w:val="24"/>
          <w:szCs w:val="24"/>
          <w:lang w:val="en-CA"/>
        </w:rPr>
        <w:t>Applicant</w:t>
      </w:r>
      <w:r w:rsidRPr="00D64729">
        <w:rPr>
          <w:rFonts w:cstheme="minorHAnsi"/>
          <w:sz w:val="24"/>
          <w:szCs w:val="24"/>
          <w:lang w:val="en-CA"/>
        </w:rPr>
        <w:t xml:space="preserve">, none of what </w:t>
      </w:r>
      <w:r>
        <w:rPr>
          <w:rFonts w:cstheme="minorHAnsi"/>
          <w:sz w:val="24"/>
          <w:szCs w:val="24"/>
          <w:lang w:val="en-CA"/>
        </w:rPr>
        <w:t xml:space="preserve">we </w:t>
      </w:r>
      <w:r w:rsidRPr="00D64729">
        <w:rPr>
          <w:rFonts w:cstheme="minorHAnsi"/>
          <w:sz w:val="24"/>
          <w:szCs w:val="24"/>
          <w:lang w:val="en-CA"/>
        </w:rPr>
        <w:t xml:space="preserve">have been </w:t>
      </w:r>
      <w:r w:rsidR="00C174AA" w:rsidRPr="00D64729">
        <w:rPr>
          <w:rFonts w:cstheme="minorHAnsi"/>
          <w:sz w:val="24"/>
          <w:szCs w:val="24"/>
          <w:lang w:val="en-CA"/>
        </w:rPr>
        <w:t xml:space="preserve">dealing with to date </w:t>
      </w:r>
      <w:r>
        <w:rPr>
          <w:rFonts w:cstheme="minorHAnsi"/>
          <w:sz w:val="24"/>
          <w:szCs w:val="24"/>
          <w:lang w:val="en-CA"/>
        </w:rPr>
        <w:t xml:space="preserve">over the past 7 years </w:t>
      </w:r>
      <w:r w:rsidR="00BD5A89">
        <w:rPr>
          <w:rFonts w:cstheme="minorHAnsi"/>
          <w:sz w:val="24"/>
          <w:szCs w:val="24"/>
          <w:lang w:val="en-CA"/>
        </w:rPr>
        <w:t>would have happened.</w:t>
      </w:r>
    </w:p>
    <w:p w:rsidR="00BD5A89" w:rsidRPr="00BD5A89" w:rsidRDefault="00BD5A89" w:rsidP="00BD5A89">
      <w:pPr>
        <w:pStyle w:val="ListParagraph"/>
        <w:spacing w:line="240" w:lineRule="auto"/>
        <w:rPr>
          <w:rFonts w:cstheme="minorHAnsi"/>
          <w:sz w:val="24"/>
          <w:szCs w:val="24"/>
          <w:lang w:val="en-CA"/>
        </w:rPr>
      </w:pPr>
    </w:p>
    <w:p w:rsidR="00BD5A89" w:rsidRDefault="005A421A" w:rsidP="00BD5A89">
      <w:pPr>
        <w:pStyle w:val="ListParagraph"/>
        <w:numPr>
          <w:ilvl w:val="0"/>
          <w:numId w:val="2"/>
        </w:numPr>
        <w:ind w:hanging="720"/>
        <w:rPr>
          <w:rFonts w:cstheme="minorHAnsi"/>
          <w:sz w:val="24"/>
          <w:szCs w:val="24"/>
          <w:lang w:val="en-CA"/>
        </w:rPr>
      </w:pPr>
      <w:r w:rsidRPr="005A421A">
        <w:rPr>
          <w:rFonts w:cstheme="minorHAnsi"/>
          <w:sz w:val="24"/>
          <w:szCs w:val="24"/>
          <w:lang w:val="en-CA"/>
        </w:rPr>
        <w:t xml:space="preserve">While basic mandatory responsibilities with respect to the </w:t>
      </w:r>
      <w:r w:rsidR="00902709">
        <w:rPr>
          <w:rFonts w:cstheme="minorHAnsi"/>
          <w:sz w:val="24"/>
          <w:szCs w:val="24"/>
          <w:lang w:val="en-CA"/>
        </w:rPr>
        <w:t>Applicant</w:t>
      </w:r>
      <w:r w:rsidRPr="005A421A">
        <w:rPr>
          <w:rFonts w:cstheme="minorHAnsi"/>
          <w:sz w:val="24"/>
          <w:szCs w:val="24"/>
          <w:lang w:val="en-CA"/>
        </w:rPr>
        <w:t xml:space="preserve"> were not fulfilled by Flindall, the amount of negative documentation issued by Flindall to the </w:t>
      </w:r>
      <w:r w:rsidR="00902709">
        <w:rPr>
          <w:rFonts w:cstheme="minorHAnsi"/>
          <w:sz w:val="24"/>
          <w:szCs w:val="24"/>
          <w:lang w:val="en-CA"/>
        </w:rPr>
        <w:t>Applicant</w:t>
      </w:r>
      <w:r w:rsidRPr="005A421A">
        <w:rPr>
          <w:rFonts w:cstheme="minorHAnsi"/>
          <w:sz w:val="24"/>
          <w:szCs w:val="24"/>
          <w:lang w:val="en-CA"/>
        </w:rPr>
        <w:t xml:space="preserve"> is simply overwhelming. All of Flindall’s PFC denotes nothing</w:t>
      </w:r>
      <w:r w:rsidR="00BD5A89">
        <w:rPr>
          <w:rFonts w:cstheme="minorHAnsi"/>
          <w:sz w:val="24"/>
          <w:szCs w:val="24"/>
          <w:lang w:val="en-CA"/>
        </w:rPr>
        <w:t>,</w:t>
      </w:r>
      <w:r w:rsidRPr="005A421A">
        <w:rPr>
          <w:rFonts w:cstheme="minorHAnsi"/>
          <w:sz w:val="24"/>
          <w:szCs w:val="24"/>
          <w:lang w:val="en-CA"/>
        </w:rPr>
        <w:t xml:space="preserve"> but negativity.</w:t>
      </w:r>
      <w:r>
        <w:rPr>
          <w:rStyle w:val="FootnoteReference"/>
          <w:rFonts w:cstheme="minorHAnsi"/>
          <w:sz w:val="24"/>
          <w:szCs w:val="24"/>
          <w:lang w:val="en-CA"/>
        </w:rPr>
        <w:footnoteReference w:id="66"/>
      </w:r>
      <w:r w:rsidRPr="005A421A">
        <w:rPr>
          <w:rFonts w:cstheme="minorHAnsi"/>
          <w:sz w:val="24"/>
          <w:szCs w:val="24"/>
          <w:lang w:val="en-CA"/>
        </w:rPr>
        <w:t xml:space="preserve"> All of his notes denote nothing</w:t>
      </w:r>
      <w:r w:rsidR="00BD5A89">
        <w:rPr>
          <w:rFonts w:cstheme="minorHAnsi"/>
          <w:sz w:val="24"/>
          <w:szCs w:val="24"/>
          <w:lang w:val="en-CA"/>
        </w:rPr>
        <w:t>,</w:t>
      </w:r>
      <w:r w:rsidRPr="005A421A">
        <w:rPr>
          <w:rFonts w:cstheme="minorHAnsi"/>
          <w:sz w:val="24"/>
          <w:szCs w:val="24"/>
          <w:lang w:val="en-CA"/>
        </w:rPr>
        <w:t xml:space="preserve"> but negativity. Butorac, on the other hand, complied with Probationary Recruit Guidelines and OPP Orders and had regular PER meetings with the </w:t>
      </w:r>
      <w:r w:rsidR="00902709">
        <w:rPr>
          <w:rFonts w:cstheme="minorHAnsi"/>
          <w:sz w:val="24"/>
          <w:szCs w:val="24"/>
          <w:lang w:val="en-CA"/>
        </w:rPr>
        <w:t>Applicant</w:t>
      </w:r>
      <w:r w:rsidRPr="005A421A">
        <w:rPr>
          <w:rFonts w:cstheme="minorHAnsi"/>
          <w:sz w:val="24"/>
          <w:szCs w:val="24"/>
          <w:lang w:val="en-CA"/>
        </w:rPr>
        <w:t xml:space="preserve"> for he does recall commending the </w:t>
      </w:r>
      <w:r w:rsidR="00902709">
        <w:rPr>
          <w:rFonts w:cstheme="minorHAnsi"/>
          <w:sz w:val="24"/>
          <w:szCs w:val="24"/>
          <w:lang w:val="en-CA"/>
        </w:rPr>
        <w:t>Applicant</w:t>
      </w:r>
      <w:r w:rsidRPr="005A421A">
        <w:rPr>
          <w:rFonts w:cstheme="minorHAnsi"/>
          <w:sz w:val="24"/>
          <w:szCs w:val="24"/>
          <w:lang w:val="en-CA"/>
        </w:rPr>
        <w:t xml:space="preserve"> on his accident reports during those meetings.</w:t>
      </w:r>
      <w:r>
        <w:rPr>
          <w:rStyle w:val="FootnoteReference"/>
          <w:rFonts w:cstheme="minorHAnsi"/>
          <w:sz w:val="24"/>
          <w:szCs w:val="24"/>
          <w:lang w:val="en-CA"/>
        </w:rPr>
        <w:footnoteReference w:id="67"/>
      </w:r>
    </w:p>
    <w:p w:rsidR="00BD5A89" w:rsidRPr="00BD5A89" w:rsidRDefault="00BD5A89" w:rsidP="00BD5A89">
      <w:pPr>
        <w:pStyle w:val="ListParagraph"/>
        <w:spacing w:line="240" w:lineRule="auto"/>
        <w:rPr>
          <w:rFonts w:cstheme="minorHAnsi"/>
          <w:sz w:val="24"/>
          <w:szCs w:val="24"/>
          <w:lang w:val="en-CA"/>
        </w:rPr>
      </w:pPr>
    </w:p>
    <w:p w:rsidR="00BD5A89" w:rsidRPr="00BD5A89" w:rsidRDefault="00BD5A89" w:rsidP="00BD5A89">
      <w:pPr>
        <w:pStyle w:val="ListParagraph"/>
        <w:numPr>
          <w:ilvl w:val="0"/>
          <w:numId w:val="2"/>
        </w:numPr>
        <w:ind w:hanging="720"/>
        <w:rPr>
          <w:rFonts w:cstheme="minorHAnsi"/>
          <w:sz w:val="24"/>
          <w:szCs w:val="24"/>
          <w:lang w:val="en-CA"/>
        </w:rPr>
      </w:pPr>
      <w:r w:rsidRPr="00BD5A89">
        <w:rPr>
          <w:rFonts w:cstheme="minorHAnsi"/>
          <w:sz w:val="24"/>
          <w:szCs w:val="24"/>
          <w:lang w:val="en-CA"/>
        </w:rPr>
        <w:t>Butorac testified that mandatory PER meetings is something that needed to be documented and so he did just that. His notes do reflect those meetings.</w:t>
      </w:r>
      <w:r>
        <w:rPr>
          <w:rStyle w:val="FootnoteReference"/>
          <w:rFonts w:cstheme="minorHAnsi"/>
          <w:sz w:val="24"/>
          <w:szCs w:val="24"/>
          <w:lang w:val="en-CA"/>
        </w:rPr>
        <w:footnoteReference w:id="68"/>
      </w:r>
      <w:r w:rsidRPr="00BD5A89">
        <w:rPr>
          <w:rFonts w:cstheme="minorHAnsi"/>
          <w:sz w:val="24"/>
          <w:szCs w:val="24"/>
          <w:lang w:val="en-CA"/>
        </w:rPr>
        <w:t xml:space="preserve"> However, he was mindful to not document anything that would be adverse or negative towards his employer or reflect poorly on management of the Applicant.</w:t>
      </w:r>
      <w:r>
        <w:rPr>
          <w:rStyle w:val="FootnoteReference"/>
          <w:rFonts w:cstheme="minorHAnsi"/>
          <w:sz w:val="24"/>
          <w:szCs w:val="24"/>
          <w:lang w:val="en-CA"/>
        </w:rPr>
        <w:footnoteReference w:id="69"/>
      </w:r>
    </w:p>
    <w:p w:rsidR="005A421A" w:rsidRPr="005A421A" w:rsidRDefault="005A421A" w:rsidP="00BD5A89">
      <w:pPr>
        <w:pStyle w:val="ListParagraph"/>
        <w:spacing w:line="240" w:lineRule="auto"/>
        <w:rPr>
          <w:rFonts w:cstheme="minorHAnsi"/>
          <w:sz w:val="24"/>
          <w:szCs w:val="24"/>
          <w:lang w:val="en-CA"/>
        </w:rPr>
      </w:pPr>
    </w:p>
    <w:p w:rsidR="00F11872" w:rsidRDefault="003A2509" w:rsidP="00C94ECF">
      <w:pPr>
        <w:pStyle w:val="ListParagraph"/>
        <w:numPr>
          <w:ilvl w:val="0"/>
          <w:numId w:val="2"/>
        </w:numPr>
        <w:ind w:hanging="720"/>
        <w:rPr>
          <w:rFonts w:cstheme="minorHAnsi"/>
          <w:sz w:val="24"/>
          <w:szCs w:val="24"/>
          <w:lang w:val="en-CA"/>
        </w:rPr>
      </w:pPr>
      <w:r>
        <w:rPr>
          <w:rFonts w:cstheme="minorHAnsi"/>
          <w:sz w:val="24"/>
          <w:szCs w:val="24"/>
          <w:lang w:val="en-CA"/>
        </w:rPr>
        <w:t xml:space="preserve">With respect to item 94, </w:t>
      </w:r>
      <w:r w:rsidR="00CB0151">
        <w:rPr>
          <w:rFonts w:cstheme="minorHAnsi"/>
          <w:sz w:val="24"/>
          <w:szCs w:val="24"/>
          <w:lang w:val="en-CA"/>
        </w:rPr>
        <w:t>Counsel</w:t>
      </w:r>
      <w:r w:rsidR="00361C92" w:rsidRPr="00CD51E3">
        <w:rPr>
          <w:rFonts w:cstheme="minorHAnsi"/>
          <w:sz w:val="24"/>
          <w:szCs w:val="24"/>
          <w:lang w:val="en-CA"/>
        </w:rPr>
        <w:t xml:space="preserve">’s assertion is false and misleading. </w:t>
      </w:r>
      <w:r>
        <w:rPr>
          <w:rFonts w:cstheme="minorHAnsi"/>
          <w:sz w:val="24"/>
          <w:szCs w:val="24"/>
          <w:lang w:val="en-CA"/>
        </w:rPr>
        <w:t xml:space="preserve">The </w:t>
      </w:r>
      <w:r w:rsidR="00902709">
        <w:rPr>
          <w:rFonts w:cstheme="minorHAnsi"/>
          <w:sz w:val="24"/>
          <w:szCs w:val="24"/>
          <w:lang w:val="en-CA"/>
        </w:rPr>
        <w:t>Applicant</w:t>
      </w:r>
      <w:r w:rsidR="00361C92" w:rsidRPr="00CD51E3">
        <w:rPr>
          <w:rFonts w:cstheme="minorHAnsi"/>
          <w:sz w:val="24"/>
          <w:szCs w:val="24"/>
          <w:lang w:val="en-CA"/>
        </w:rPr>
        <w:t xml:space="preserve"> left Flindall’s platoon on August 20, 2009.</w:t>
      </w:r>
      <w:r w:rsidR="00295BF0" w:rsidRPr="00CD51E3">
        <w:rPr>
          <w:rFonts w:cstheme="minorHAnsi"/>
          <w:sz w:val="24"/>
          <w:szCs w:val="24"/>
          <w:lang w:val="en-CA"/>
        </w:rPr>
        <w:t xml:space="preserve"> </w:t>
      </w:r>
      <w:r w:rsidR="00211072" w:rsidRPr="00CD51E3">
        <w:rPr>
          <w:rFonts w:cstheme="minorHAnsi"/>
          <w:sz w:val="24"/>
          <w:szCs w:val="24"/>
          <w:lang w:val="en-CA"/>
        </w:rPr>
        <w:t xml:space="preserve">There is </w:t>
      </w:r>
      <w:r w:rsidR="006F513B" w:rsidRPr="00CD51E3">
        <w:rPr>
          <w:rFonts w:cstheme="minorHAnsi"/>
          <w:sz w:val="24"/>
          <w:szCs w:val="24"/>
          <w:lang w:val="en-CA"/>
        </w:rPr>
        <w:t xml:space="preserve">an </w:t>
      </w:r>
      <w:r w:rsidR="00211072" w:rsidRPr="00CD51E3">
        <w:rPr>
          <w:rFonts w:cstheme="minorHAnsi"/>
          <w:sz w:val="24"/>
          <w:szCs w:val="24"/>
          <w:lang w:val="en-CA"/>
        </w:rPr>
        <w:t>abundance of documentary evidence in the form of email correspondence involving Flindall working on Jack’s PER and WIP well after August 20, 2009, and even after September 9, 2009.</w:t>
      </w:r>
      <w:r w:rsidR="006F513B">
        <w:rPr>
          <w:rStyle w:val="FootnoteReference"/>
          <w:rFonts w:cstheme="minorHAnsi"/>
          <w:sz w:val="24"/>
          <w:szCs w:val="24"/>
          <w:lang w:val="en-CA"/>
        </w:rPr>
        <w:footnoteReference w:id="70"/>
      </w:r>
    </w:p>
    <w:p w:rsidR="00F11872" w:rsidRPr="00F11872" w:rsidRDefault="00F11872" w:rsidP="000441F0">
      <w:pPr>
        <w:pStyle w:val="ListParagraph"/>
        <w:spacing w:line="240" w:lineRule="auto"/>
        <w:rPr>
          <w:rFonts w:cstheme="minorHAnsi"/>
          <w:sz w:val="24"/>
          <w:szCs w:val="24"/>
          <w:lang w:val="en-CA"/>
        </w:rPr>
      </w:pPr>
    </w:p>
    <w:p w:rsidR="00D845E4" w:rsidRDefault="003A2509" w:rsidP="000441F0">
      <w:pPr>
        <w:pStyle w:val="ListParagraph"/>
        <w:numPr>
          <w:ilvl w:val="0"/>
          <w:numId w:val="2"/>
        </w:numPr>
        <w:ind w:hanging="720"/>
        <w:rPr>
          <w:rFonts w:cstheme="minorHAnsi"/>
          <w:sz w:val="24"/>
          <w:szCs w:val="24"/>
          <w:lang w:val="en-CA"/>
        </w:rPr>
      </w:pPr>
      <w:r w:rsidRPr="00F11872">
        <w:rPr>
          <w:rFonts w:cstheme="minorHAnsi"/>
          <w:sz w:val="24"/>
          <w:szCs w:val="24"/>
          <w:lang w:val="en-CA"/>
        </w:rPr>
        <w:t>With respect to item 95, h</w:t>
      </w:r>
      <w:r w:rsidR="000441F0">
        <w:rPr>
          <w:rFonts w:cstheme="minorHAnsi"/>
          <w:sz w:val="24"/>
          <w:szCs w:val="24"/>
          <w:lang w:val="en-CA"/>
        </w:rPr>
        <w:t>ow ca</w:t>
      </w:r>
      <w:r w:rsidR="00480C99">
        <w:rPr>
          <w:rFonts w:cstheme="minorHAnsi"/>
          <w:sz w:val="24"/>
          <w:szCs w:val="24"/>
          <w:lang w:val="en-CA"/>
        </w:rPr>
        <w:t>n</w:t>
      </w:r>
      <w:r w:rsidR="00D845E4" w:rsidRPr="00F11872">
        <w:rPr>
          <w:rFonts w:cstheme="minorHAnsi"/>
          <w:sz w:val="24"/>
          <w:szCs w:val="24"/>
          <w:lang w:val="en-CA"/>
        </w:rPr>
        <w:t xml:space="preserve"> </w:t>
      </w:r>
      <w:r w:rsidR="00CB0151" w:rsidRPr="00F11872">
        <w:rPr>
          <w:rFonts w:cstheme="minorHAnsi"/>
          <w:sz w:val="24"/>
          <w:szCs w:val="24"/>
          <w:lang w:val="en-CA"/>
        </w:rPr>
        <w:t>Counsel</w:t>
      </w:r>
      <w:r w:rsidR="00D845E4" w:rsidRPr="00F11872">
        <w:rPr>
          <w:rFonts w:cstheme="minorHAnsi"/>
          <w:sz w:val="24"/>
          <w:szCs w:val="24"/>
          <w:lang w:val="en-CA"/>
        </w:rPr>
        <w:t xml:space="preserve"> state </w:t>
      </w:r>
      <w:r w:rsidRPr="00F11872">
        <w:rPr>
          <w:rFonts w:cstheme="minorHAnsi"/>
          <w:sz w:val="24"/>
          <w:szCs w:val="24"/>
          <w:lang w:val="en-CA"/>
        </w:rPr>
        <w:t>that</w:t>
      </w:r>
      <w:r w:rsidR="00D845E4" w:rsidRPr="00F11872">
        <w:rPr>
          <w:rFonts w:cstheme="minorHAnsi"/>
          <w:sz w:val="24"/>
          <w:szCs w:val="24"/>
          <w:lang w:val="en-CA"/>
        </w:rPr>
        <w:t xml:space="preserve"> Constable Payne did not p</w:t>
      </w:r>
      <w:r w:rsidR="002F0E75" w:rsidRPr="00F11872">
        <w:rPr>
          <w:rFonts w:cstheme="minorHAnsi"/>
          <w:sz w:val="24"/>
          <w:szCs w:val="24"/>
          <w:lang w:val="en-CA"/>
        </w:rPr>
        <w:t xml:space="preserve">repare Jack’s PERs when </w:t>
      </w:r>
      <w:r w:rsidR="00D845E4" w:rsidRPr="00F11872">
        <w:rPr>
          <w:rFonts w:cstheme="minorHAnsi"/>
          <w:sz w:val="24"/>
          <w:szCs w:val="24"/>
          <w:lang w:val="en-CA"/>
        </w:rPr>
        <w:t xml:space="preserve">documentary evidence </w:t>
      </w:r>
      <w:r w:rsidR="000441F0">
        <w:rPr>
          <w:rFonts w:cstheme="minorHAnsi"/>
          <w:sz w:val="24"/>
          <w:szCs w:val="24"/>
          <w:lang w:val="en-CA"/>
        </w:rPr>
        <w:t xml:space="preserve">along with Payne’s testimony </w:t>
      </w:r>
      <w:r w:rsidR="00D845E4" w:rsidRPr="00F11872">
        <w:rPr>
          <w:rFonts w:cstheme="minorHAnsi"/>
          <w:sz w:val="24"/>
          <w:szCs w:val="24"/>
          <w:lang w:val="en-CA"/>
        </w:rPr>
        <w:t>state</w:t>
      </w:r>
      <w:r w:rsidR="000441F0">
        <w:rPr>
          <w:rFonts w:cstheme="minorHAnsi"/>
          <w:sz w:val="24"/>
          <w:szCs w:val="24"/>
          <w:lang w:val="en-CA"/>
        </w:rPr>
        <w:t xml:space="preserve"> </w:t>
      </w:r>
      <w:r w:rsidRPr="00F11872">
        <w:rPr>
          <w:rFonts w:cstheme="minorHAnsi"/>
          <w:sz w:val="24"/>
          <w:szCs w:val="24"/>
          <w:lang w:val="en-CA"/>
        </w:rPr>
        <w:t xml:space="preserve">exactly </w:t>
      </w:r>
      <w:r w:rsidR="002F0E75" w:rsidRPr="00F11872">
        <w:rPr>
          <w:rFonts w:cstheme="minorHAnsi"/>
          <w:sz w:val="24"/>
          <w:szCs w:val="24"/>
          <w:lang w:val="en-CA"/>
        </w:rPr>
        <w:t>otherwise?</w:t>
      </w:r>
      <w:r w:rsidR="00B5123C">
        <w:rPr>
          <w:rStyle w:val="FootnoteReference"/>
          <w:rFonts w:cstheme="minorHAnsi"/>
          <w:sz w:val="24"/>
          <w:szCs w:val="24"/>
          <w:lang w:val="en-CA"/>
        </w:rPr>
        <w:footnoteReference w:id="71"/>
      </w:r>
      <w:r w:rsidRPr="00F11872">
        <w:rPr>
          <w:rFonts w:cstheme="minorHAnsi"/>
          <w:sz w:val="24"/>
          <w:szCs w:val="24"/>
          <w:lang w:val="en-CA"/>
        </w:rPr>
        <w:t xml:space="preserve"> </w:t>
      </w:r>
      <w:r w:rsidR="00D845E4" w:rsidRPr="00F11872">
        <w:rPr>
          <w:rFonts w:cstheme="minorHAnsi"/>
          <w:sz w:val="24"/>
          <w:szCs w:val="24"/>
          <w:lang w:val="en-CA"/>
        </w:rPr>
        <w:t xml:space="preserve">Since Payne worked on Jack’s evaluation and had explicit inputs in them, how can it </w:t>
      </w:r>
      <w:r w:rsidR="00480C99">
        <w:rPr>
          <w:rFonts w:cstheme="minorHAnsi"/>
          <w:sz w:val="24"/>
          <w:szCs w:val="24"/>
          <w:lang w:val="en-CA"/>
        </w:rPr>
        <w:t xml:space="preserve">not </w:t>
      </w:r>
      <w:r w:rsidR="00D845E4" w:rsidRPr="00F11872">
        <w:rPr>
          <w:rFonts w:cstheme="minorHAnsi"/>
          <w:sz w:val="24"/>
          <w:szCs w:val="24"/>
          <w:lang w:val="en-CA"/>
        </w:rPr>
        <w:t xml:space="preserve">be viewed as preparing them? </w:t>
      </w:r>
      <w:r w:rsidR="005A5C50" w:rsidRPr="00F11872">
        <w:rPr>
          <w:rFonts w:cstheme="minorHAnsi"/>
          <w:sz w:val="24"/>
          <w:szCs w:val="24"/>
          <w:lang w:val="en-CA"/>
        </w:rPr>
        <w:t>Payne’s</w:t>
      </w:r>
      <w:r w:rsidR="00CD51E3" w:rsidRPr="00F11872">
        <w:rPr>
          <w:rFonts w:cstheme="minorHAnsi"/>
          <w:sz w:val="24"/>
          <w:szCs w:val="24"/>
          <w:lang w:val="en-CA"/>
        </w:rPr>
        <w:t xml:space="preserve"> notes clearly show her working several hours on Jack’s PER </w:t>
      </w:r>
      <w:r w:rsidR="00CD51E3" w:rsidRPr="00F11872">
        <w:rPr>
          <w:rFonts w:cstheme="minorHAnsi"/>
          <w:sz w:val="24"/>
          <w:szCs w:val="24"/>
          <w:lang w:val="en-CA"/>
        </w:rPr>
        <w:lastRenderedPageBreak/>
        <w:t>while officially off duty and at home.</w:t>
      </w:r>
      <w:r w:rsidR="002F0E75">
        <w:rPr>
          <w:rStyle w:val="FootnoteReference"/>
          <w:rFonts w:cstheme="minorHAnsi"/>
          <w:sz w:val="24"/>
          <w:szCs w:val="24"/>
          <w:lang w:val="en-CA"/>
        </w:rPr>
        <w:footnoteReference w:id="72"/>
      </w:r>
      <w:r w:rsidR="00CD51E3" w:rsidRPr="00F11872">
        <w:rPr>
          <w:rFonts w:cstheme="minorHAnsi"/>
          <w:sz w:val="24"/>
          <w:szCs w:val="24"/>
          <w:lang w:val="en-CA"/>
        </w:rPr>
        <w:t xml:space="preserve"> Yet </w:t>
      </w:r>
      <w:r w:rsidR="00CB0151" w:rsidRPr="00F11872">
        <w:rPr>
          <w:rFonts w:cstheme="minorHAnsi"/>
          <w:sz w:val="24"/>
          <w:szCs w:val="24"/>
          <w:lang w:val="en-CA"/>
        </w:rPr>
        <w:t>Counsel</w:t>
      </w:r>
      <w:r w:rsidR="00CD51E3" w:rsidRPr="00F11872">
        <w:rPr>
          <w:rFonts w:cstheme="minorHAnsi"/>
          <w:sz w:val="24"/>
          <w:szCs w:val="24"/>
          <w:lang w:val="en-CA"/>
        </w:rPr>
        <w:t xml:space="preserve"> says </w:t>
      </w:r>
      <w:r w:rsidR="002F0E75" w:rsidRPr="00F11872">
        <w:rPr>
          <w:rFonts w:cstheme="minorHAnsi"/>
          <w:sz w:val="24"/>
          <w:szCs w:val="24"/>
          <w:lang w:val="en-CA"/>
        </w:rPr>
        <w:t xml:space="preserve">that </w:t>
      </w:r>
      <w:r w:rsidR="000441F0">
        <w:rPr>
          <w:rFonts w:cstheme="minorHAnsi"/>
          <w:sz w:val="24"/>
          <w:szCs w:val="24"/>
          <w:lang w:val="en-CA"/>
        </w:rPr>
        <w:t>Payne</w:t>
      </w:r>
      <w:r w:rsidR="002F0E75" w:rsidRPr="00F11872">
        <w:rPr>
          <w:rFonts w:cstheme="minorHAnsi"/>
          <w:sz w:val="24"/>
          <w:szCs w:val="24"/>
          <w:lang w:val="en-CA"/>
        </w:rPr>
        <w:t xml:space="preserve"> did not prepare Jack’s</w:t>
      </w:r>
      <w:r w:rsidR="00CD51E3" w:rsidRPr="00F11872">
        <w:rPr>
          <w:rFonts w:cstheme="minorHAnsi"/>
          <w:sz w:val="24"/>
          <w:szCs w:val="24"/>
          <w:lang w:val="en-CA"/>
        </w:rPr>
        <w:t xml:space="preserve"> </w:t>
      </w:r>
      <w:proofErr w:type="spellStart"/>
      <w:r w:rsidR="00CD51E3" w:rsidRPr="00F11872">
        <w:rPr>
          <w:rFonts w:cstheme="minorHAnsi"/>
          <w:sz w:val="24"/>
          <w:szCs w:val="24"/>
          <w:lang w:val="en-CA"/>
        </w:rPr>
        <w:t>PERs.</w:t>
      </w:r>
      <w:proofErr w:type="spellEnd"/>
      <w:r w:rsidR="00CD51E3" w:rsidRPr="00F11872">
        <w:rPr>
          <w:rFonts w:cstheme="minorHAnsi"/>
          <w:sz w:val="24"/>
          <w:szCs w:val="24"/>
          <w:lang w:val="en-CA"/>
        </w:rPr>
        <w:t xml:space="preserve"> </w:t>
      </w:r>
      <w:r w:rsidR="000441F0">
        <w:rPr>
          <w:rFonts w:cstheme="minorHAnsi"/>
          <w:sz w:val="24"/>
          <w:szCs w:val="24"/>
          <w:lang w:val="en-CA"/>
        </w:rPr>
        <w:t>Payne</w:t>
      </w:r>
      <w:r w:rsidR="00CD51E3" w:rsidRPr="00F11872">
        <w:rPr>
          <w:rFonts w:cstheme="minorHAnsi"/>
          <w:sz w:val="24"/>
          <w:szCs w:val="24"/>
          <w:lang w:val="en-CA"/>
        </w:rPr>
        <w:t xml:space="preserve"> may not have prepared a complete one</w:t>
      </w:r>
      <w:r w:rsidR="005A5C50" w:rsidRPr="00F11872">
        <w:rPr>
          <w:rFonts w:cstheme="minorHAnsi"/>
          <w:sz w:val="24"/>
          <w:szCs w:val="24"/>
          <w:lang w:val="en-CA"/>
        </w:rPr>
        <w:t>,</w:t>
      </w:r>
      <w:r w:rsidR="00CD51E3" w:rsidRPr="00F11872">
        <w:rPr>
          <w:rFonts w:cstheme="minorHAnsi"/>
          <w:sz w:val="24"/>
          <w:szCs w:val="24"/>
          <w:lang w:val="en-CA"/>
        </w:rPr>
        <w:t xml:space="preserve"> but it is very clear </w:t>
      </w:r>
      <w:r w:rsidR="005A5C50" w:rsidRPr="00F11872">
        <w:rPr>
          <w:rFonts w:cstheme="minorHAnsi"/>
          <w:sz w:val="24"/>
          <w:szCs w:val="24"/>
          <w:lang w:val="en-CA"/>
        </w:rPr>
        <w:t xml:space="preserve">even from her testimony </w:t>
      </w:r>
      <w:r w:rsidR="00CD51E3" w:rsidRPr="00F11872">
        <w:rPr>
          <w:rFonts w:cstheme="minorHAnsi"/>
          <w:sz w:val="24"/>
          <w:szCs w:val="24"/>
          <w:lang w:val="en-CA"/>
        </w:rPr>
        <w:t>that she did</w:t>
      </w:r>
      <w:r w:rsidR="005A5C50" w:rsidRPr="00F11872">
        <w:rPr>
          <w:rFonts w:cstheme="minorHAnsi"/>
          <w:sz w:val="24"/>
          <w:szCs w:val="24"/>
          <w:lang w:val="en-CA"/>
        </w:rPr>
        <w:t xml:space="preserve"> prepare portions or parts of them</w:t>
      </w:r>
      <w:r w:rsidR="00CD51E3" w:rsidRPr="00F11872">
        <w:rPr>
          <w:rFonts w:cstheme="minorHAnsi"/>
          <w:sz w:val="24"/>
          <w:szCs w:val="24"/>
          <w:lang w:val="en-CA"/>
        </w:rPr>
        <w:t>.</w:t>
      </w:r>
      <w:r w:rsidR="002F0E75">
        <w:rPr>
          <w:rStyle w:val="FootnoteReference"/>
          <w:rFonts w:cstheme="minorHAnsi"/>
          <w:sz w:val="24"/>
          <w:szCs w:val="24"/>
          <w:lang w:val="en-CA"/>
        </w:rPr>
        <w:footnoteReference w:id="73"/>
      </w:r>
      <w:r w:rsidR="00CD51E3" w:rsidRPr="00F11872">
        <w:rPr>
          <w:rFonts w:cstheme="minorHAnsi"/>
          <w:sz w:val="24"/>
          <w:szCs w:val="24"/>
          <w:lang w:val="en-CA"/>
        </w:rPr>
        <w:t xml:space="preserve"> </w:t>
      </w:r>
    </w:p>
    <w:p w:rsidR="00150870" w:rsidRPr="00150870" w:rsidRDefault="00150870" w:rsidP="00150870">
      <w:pPr>
        <w:pStyle w:val="ListParagraph"/>
        <w:rPr>
          <w:rFonts w:cstheme="minorHAnsi"/>
          <w:sz w:val="24"/>
          <w:szCs w:val="24"/>
          <w:lang w:val="en-CA"/>
        </w:rPr>
      </w:pPr>
    </w:p>
    <w:p w:rsidR="005E579B" w:rsidRDefault="00BE5875" w:rsidP="000441F0">
      <w:pPr>
        <w:pStyle w:val="ListParagraph"/>
        <w:numPr>
          <w:ilvl w:val="0"/>
          <w:numId w:val="2"/>
        </w:numPr>
        <w:ind w:hanging="720"/>
        <w:rPr>
          <w:rFonts w:cstheme="minorHAnsi"/>
          <w:sz w:val="24"/>
          <w:szCs w:val="24"/>
          <w:lang w:val="en-CA"/>
        </w:rPr>
      </w:pPr>
      <w:r w:rsidRPr="00A15D0F">
        <w:rPr>
          <w:rFonts w:cstheme="minorHAnsi"/>
          <w:sz w:val="24"/>
          <w:szCs w:val="24"/>
          <w:lang w:val="en-CA"/>
        </w:rPr>
        <w:t xml:space="preserve">Payne’s notes regarding the </w:t>
      </w:r>
      <w:r w:rsidR="00902709">
        <w:rPr>
          <w:rFonts w:cstheme="minorHAnsi"/>
          <w:sz w:val="24"/>
          <w:szCs w:val="24"/>
          <w:lang w:val="en-CA"/>
        </w:rPr>
        <w:t>Applicant</w:t>
      </w:r>
      <w:r w:rsidRPr="00A15D0F">
        <w:rPr>
          <w:rFonts w:cstheme="minorHAnsi"/>
          <w:sz w:val="24"/>
          <w:szCs w:val="24"/>
          <w:lang w:val="en-CA"/>
        </w:rPr>
        <w:t xml:space="preserve"> as reflected in her official notebook and her </w:t>
      </w:r>
      <w:r w:rsidR="00187BB1" w:rsidRPr="00A15D0F">
        <w:rPr>
          <w:rFonts w:cstheme="minorHAnsi"/>
          <w:sz w:val="24"/>
          <w:szCs w:val="24"/>
          <w:lang w:val="en-CA"/>
        </w:rPr>
        <w:t>duplicate</w:t>
      </w:r>
      <w:r w:rsidR="000441F0">
        <w:rPr>
          <w:rFonts w:cstheme="minorHAnsi"/>
          <w:sz w:val="24"/>
          <w:szCs w:val="24"/>
          <w:lang w:val="en-CA"/>
        </w:rPr>
        <w:t xml:space="preserve"> </w:t>
      </w:r>
      <w:r w:rsidR="00150870">
        <w:rPr>
          <w:rFonts w:cstheme="minorHAnsi"/>
          <w:sz w:val="24"/>
          <w:szCs w:val="24"/>
          <w:lang w:val="en-CA"/>
        </w:rPr>
        <w:t>(</w:t>
      </w:r>
      <w:r w:rsidR="000441F0">
        <w:rPr>
          <w:rFonts w:cstheme="minorHAnsi"/>
          <w:sz w:val="24"/>
          <w:szCs w:val="24"/>
          <w:lang w:val="en-CA"/>
        </w:rPr>
        <w:t>surreptitiously maintained</w:t>
      </w:r>
      <w:r w:rsidRPr="00A15D0F">
        <w:rPr>
          <w:rFonts w:cstheme="minorHAnsi"/>
          <w:sz w:val="24"/>
          <w:szCs w:val="24"/>
          <w:lang w:val="en-CA"/>
        </w:rPr>
        <w:t xml:space="preserve"> notebook </w:t>
      </w:r>
      <w:r w:rsidR="00480C99">
        <w:rPr>
          <w:rFonts w:cstheme="minorHAnsi"/>
          <w:sz w:val="24"/>
          <w:szCs w:val="24"/>
          <w:lang w:val="en-CA"/>
        </w:rPr>
        <w:t xml:space="preserve">that was </w:t>
      </w:r>
      <w:r w:rsidRPr="00A15D0F">
        <w:rPr>
          <w:rFonts w:cstheme="minorHAnsi"/>
          <w:sz w:val="24"/>
          <w:szCs w:val="24"/>
          <w:lang w:val="en-CA"/>
        </w:rPr>
        <w:t xml:space="preserve">solely on the </w:t>
      </w:r>
      <w:r w:rsidR="00902709">
        <w:rPr>
          <w:rFonts w:cstheme="minorHAnsi"/>
          <w:sz w:val="24"/>
          <w:szCs w:val="24"/>
          <w:lang w:val="en-CA"/>
        </w:rPr>
        <w:t>Applicant</w:t>
      </w:r>
      <w:r w:rsidR="00150870">
        <w:rPr>
          <w:rFonts w:cstheme="minorHAnsi"/>
          <w:sz w:val="24"/>
          <w:szCs w:val="24"/>
          <w:lang w:val="en-CA"/>
        </w:rPr>
        <w:t>)</w:t>
      </w:r>
      <w:r w:rsidRPr="00A15D0F">
        <w:rPr>
          <w:rFonts w:cstheme="minorHAnsi"/>
          <w:sz w:val="24"/>
          <w:szCs w:val="24"/>
          <w:lang w:val="en-CA"/>
        </w:rPr>
        <w:t xml:space="preserve"> revealed no positive </w:t>
      </w:r>
      <w:r w:rsidR="005E579B">
        <w:rPr>
          <w:rFonts w:cstheme="minorHAnsi"/>
          <w:sz w:val="24"/>
          <w:szCs w:val="24"/>
          <w:lang w:val="en-CA"/>
        </w:rPr>
        <w:t xml:space="preserve">things </w:t>
      </w:r>
      <w:r w:rsidR="000870DE">
        <w:rPr>
          <w:rFonts w:cstheme="minorHAnsi"/>
          <w:sz w:val="24"/>
          <w:szCs w:val="24"/>
          <w:lang w:val="en-CA"/>
        </w:rPr>
        <w:t xml:space="preserve">documented </w:t>
      </w:r>
      <w:r w:rsidR="005E579B">
        <w:rPr>
          <w:rFonts w:cstheme="minorHAnsi"/>
          <w:sz w:val="24"/>
          <w:szCs w:val="24"/>
          <w:lang w:val="en-CA"/>
        </w:rPr>
        <w:t xml:space="preserve">about the </w:t>
      </w:r>
      <w:r w:rsidR="00902709">
        <w:rPr>
          <w:rFonts w:cstheme="minorHAnsi"/>
          <w:sz w:val="24"/>
          <w:szCs w:val="24"/>
          <w:lang w:val="en-CA"/>
        </w:rPr>
        <w:t>Applicant</w:t>
      </w:r>
      <w:r w:rsidRPr="00A15D0F">
        <w:rPr>
          <w:rFonts w:cstheme="minorHAnsi"/>
          <w:sz w:val="24"/>
          <w:szCs w:val="24"/>
          <w:lang w:val="en-CA"/>
        </w:rPr>
        <w:t>. She w</w:t>
      </w:r>
      <w:r w:rsidR="000441F0">
        <w:rPr>
          <w:rFonts w:cstheme="minorHAnsi"/>
          <w:sz w:val="24"/>
          <w:szCs w:val="24"/>
          <w:lang w:val="en-CA"/>
        </w:rPr>
        <w:t xml:space="preserve">as specifically directed by Mr. Vice Chair </w:t>
      </w:r>
      <w:r w:rsidRPr="00A15D0F">
        <w:rPr>
          <w:rFonts w:cstheme="minorHAnsi"/>
          <w:sz w:val="24"/>
          <w:szCs w:val="24"/>
          <w:lang w:val="en-CA"/>
        </w:rPr>
        <w:t xml:space="preserve">to review her notes during recess to address that question. She confirmed that </w:t>
      </w:r>
      <w:r w:rsidR="00150870">
        <w:rPr>
          <w:rFonts w:cstheme="minorHAnsi"/>
          <w:sz w:val="24"/>
          <w:szCs w:val="24"/>
          <w:lang w:val="en-CA"/>
        </w:rPr>
        <w:t>t</w:t>
      </w:r>
      <w:r w:rsidRPr="00A15D0F">
        <w:rPr>
          <w:rFonts w:cstheme="minorHAnsi"/>
          <w:sz w:val="24"/>
          <w:szCs w:val="24"/>
          <w:lang w:val="en-CA"/>
        </w:rPr>
        <w:t>here were no positive documentations anywhere in her notes.</w:t>
      </w:r>
      <w:r w:rsidR="005E579B" w:rsidRPr="005E579B">
        <w:rPr>
          <w:rStyle w:val="FootnoteReference"/>
          <w:rFonts w:cstheme="minorHAnsi"/>
          <w:sz w:val="24"/>
          <w:szCs w:val="24"/>
          <w:lang w:val="en-CA"/>
        </w:rPr>
        <w:t xml:space="preserve"> </w:t>
      </w:r>
      <w:r w:rsidR="005E579B">
        <w:rPr>
          <w:rStyle w:val="FootnoteReference"/>
          <w:rFonts w:cstheme="minorHAnsi"/>
          <w:sz w:val="24"/>
          <w:szCs w:val="24"/>
          <w:lang w:val="en-CA"/>
        </w:rPr>
        <w:footnoteReference w:id="74"/>
      </w:r>
    </w:p>
    <w:p w:rsidR="005E579B" w:rsidRPr="005E579B" w:rsidRDefault="005E579B" w:rsidP="000441F0">
      <w:pPr>
        <w:pStyle w:val="ListParagraph"/>
        <w:spacing w:line="240" w:lineRule="auto"/>
        <w:rPr>
          <w:rFonts w:cstheme="minorHAnsi"/>
          <w:sz w:val="24"/>
          <w:szCs w:val="24"/>
          <w:lang w:val="en-CA"/>
        </w:rPr>
      </w:pPr>
    </w:p>
    <w:p w:rsidR="004E4360" w:rsidRDefault="00BE5875" w:rsidP="00C94ECF">
      <w:pPr>
        <w:pStyle w:val="ListParagraph"/>
        <w:numPr>
          <w:ilvl w:val="0"/>
          <w:numId w:val="2"/>
        </w:numPr>
        <w:ind w:hanging="720"/>
        <w:rPr>
          <w:rFonts w:cstheme="minorHAnsi"/>
          <w:i/>
          <w:iCs/>
          <w:sz w:val="24"/>
          <w:szCs w:val="24"/>
          <w:lang w:val="en-CA"/>
        </w:rPr>
      </w:pPr>
      <w:r w:rsidRPr="005E579B">
        <w:rPr>
          <w:rFonts w:cstheme="minorHAnsi"/>
          <w:sz w:val="24"/>
          <w:szCs w:val="24"/>
          <w:lang w:val="en-CA"/>
        </w:rPr>
        <w:t>Though the court reporter failed to capture her response accurately</w:t>
      </w:r>
      <w:r>
        <w:rPr>
          <w:rStyle w:val="FootnoteReference"/>
          <w:rFonts w:cstheme="minorHAnsi"/>
          <w:sz w:val="24"/>
          <w:szCs w:val="24"/>
          <w:lang w:val="en-CA"/>
        </w:rPr>
        <w:footnoteReference w:id="75"/>
      </w:r>
      <w:r w:rsidRPr="005E579B">
        <w:rPr>
          <w:rFonts w:cstheme="minorHAnsi"/>
          <w:sz w:val="24"/>
          <w:szCs w:val="24"/>
          <w:lang w:val="en-CA"/>
        </w:rPr>
        <w:t xml:space="preserve"> the notes of the </w:t>
      </w:r>
      <w:r w:rsidR="00902709">
        <w:rPr>
          <w:rFonts w:cstheme="minorHAnsi"/>
          <w:sz w:val="24"/>
          <w:szCs w:val="24"/>
          <w:lang w:val="en-CA"/>
        </w:rPr>
        <w:t>Applicant</w:t>
      </w:r>
      <w:r w:rsidR="005E579B">
        <w:rPr>
          <w:rFonts w:cstheme="minorHAnsi"/>
          <w:sz w:val="24"/>
          <w:szCs w:val="24"/>
          <w:lang w:val="en-CA"/>
        </w:rPr>
        <w:t xml:space="preserve"> and Mr. Vice Chair do</w:t>
      </w:r>
      <w:r w:rsidRPr="005E579B">
        <w:rPr>
          <w:rFonts w:cstheme="minorHAnsi"/>
          <w:sz w:val="24"/>
          <w:szCs w:val="24"/>
          <w:lang w:val="en-CA"/>
        </w:rPr>
        <w:t xml:space="preserve"> reflect her answer – </w:t>
      </w:r>
      <w:r w:rsidR="005E579B" w:rsidRPr="005E579B">
        <w:rPr>
          <w:rFonts w:cstheme="minorHAnsi"/>
          <w:i/>
          <w:iCs/>
          <w:sz w:val="24"/>
          <w:szCs w:val="24"/>
          <w:lang w:val="en-CA"/>
        </w:rPr>
        <w:t>‘</w:t>
      </w:r>
      <w:r w:rsidR="00454C26">
        <w:rPr>
          <w:rFonts w:cstheme="minorHAnsi"/>
          <w:i/>
          <w:iCs/>
          <w:sz w:val="24"/>
          <w:szCs w:val="24"/>
          <w:lang w:val="en-CA"/>
        </w:rPr>
        <w:t xml:space="preserve">THE VICE-CHAIR: </w:t>
      </w:r>
      <w:r w:rsidR="00E017EC">
        <w:rPr>
          <w:rFonts w:cstheme="minorHAnsi"/>
          <w:i/>
          <w:iCs/>
          <w:sz w:val="24"/>
          <w:szCs w:val="24"/>
          <w:lang w:val="en-CA"/>
        </w:rPr>
        <w:t>…</w:t>
      </w:r>
      <w:r w:rsidR="005E579B" w:rsidRPr="005E579B">
        <w:rPr>
          <w:rFonts w:cstheme="minorHAnsi"/>
          <w:i/>
          <w:iCs/>
          <w:sz w:val="24"/>
          <w:szCs w:val="24"/>
          <w:lang w:val="en-CA"/>
        </w:rPr>
        <w:t>and I noted, and the recording will...the transcript will agree that she testified that there is nothing positive in the notes’</w:t>
      </w:r>
      <w:r w:rsidR="005E579B" w:rsidRPr="005E579B">
        <w:rPr>
          <w:rStyle w:val="FootnoteReference"/>
          <w:rFonts w:cstheme="minorHAnsi"/>
          <w:sz w:val="24"/>
          <w:szCs w:val="24"/>
          <w:lang w:val="en-CA"/>
        </w:rPr>
        <w:footnoteReference w:id="76"/>
      </w:r>
    </w:p>
    <w:p w:rsidR="004E4360" w:rsidRPr="004E4360" w:rsidRDefault="004E4360" w:rsidP="000441F0">
      <w:pPr>
        <w:pStyle w:val="ListParagraph"/>
        <w:spacing w:line="240" w:lineRule="auto"/>
        <w:rPr>
          <w:rFonts w:cstheme="minorHAnsi"/>
          <w:sz w:val="24"/>
          <w:szCs w:val="24"/>
          <w:lang w:val="en-CA"/>
        </w:rPr>
      </w:pPr>
    </w:p>
    <w:p w:rsidR="004E4360" w:rsidRPr="004E4360" w:rsidRDefault="009C74F1" w:rsidP="00C94ECF">
      <w:pPr>
        <w:pStyle w:val="ListParagraph"/>
        <w:numPr>
          <w:ilvl w:val="0"/>
          <w:numId w:val="2"/>
        </w:numPr>
        <w:ind w:hanging="720"/>
        <w:rPr>
          <w:rFonts w:cstheme="minorHAnsi"/>
          <w:i/>
          <w:iCs/>
          <w:sz w:val="24"/>
          <w:szCs w:val="24"/>
          <w:lang w:val="en-CA"/>
        </w:rPr>
      </w:pPr>
      <w:r>
        <w:rPr>
          <w:rFonts w:cstheme="minorHAnsi"/>
          <w:sz w:val="24"/>
          <w:szCs w:val="24"/>
          <w:lang w:val="en-CA"/>
        </w:rPr>
        <w:t>Payne</w:t>
      </w:r>
      <w:r w:rsidR="00187BB1" w:rsidRPr="004E4360">
        <w:rPr>
          <w:rFonts w:cstheme="minorHAnsi"/>
          <w:sz w:val="24"/>
          <w:szCs w:val="24"/>
          <w:lang w:val="en-CA"/>
        </w:rPr>
        <w:t xml:space="preserve"> </w:t>
      </w:r>
      <w:r w:rsidR="00026CAE" w:rsidRPr="004E4360">
        <w:rPr>
          <w:rFonts w:cstheme="minorHAnsi"/>
          <w:sz w:val="24"/>
          <w:szCs w:val="24"/>
          <w:lang w:val="en-CA"/>
        </w:rPr>
        <w:t>testified that she had authorization</w:t>
      </w:r>
      <w:r w:rsidR="00187BB1" w:rsidRPr="004E4360">
        <w:rPr>
          <w:rFonts w:cstheme="minorHAnsi"/>
          <w:sz w:val="24"/>
          <w:szCs w:val="24"/>
          <w:lang w:val="en-CA"/>
        </w:rPr>
        <w:t xml:space="preserve"> from Campbell </w:t>
      </w:r>
      <w:r w:rsidR="003B2DFC" w:rsidRPr="004E4360">
        <w:rPr>
          <w:rFonts w:cstheme="minorHAnsi"/>
          <w:sz w:val="24"/>
          <w:szCs w:val="24"/>
          <w:lang w:val="en-CA"/>
        </w:rPr>
        <w:t xml:space="preserve">or Flindall </w:t>
      </w:r>
      <w:r w:rsidR="00187BB1" w:rsidRPr="004E4360">
        <w:rPr>
          <w:rFonts w:cstheme="minorHAnsi"/>
          <w:sz w:val="24"/>
          <w:szCs w:val="24"/>
          <w:lang w:val="en-CA"/>
        </w:rPr>
        <w:t xml:space="preserve">to maintain a duplicate notebook on the </w:t>
      </w:r>
      <w:r w:rsidR="00902709">
        <w:rPr>
          <w:rFonts w:cstheme="minorHAnsi"/>
          <w:sz w:val="24"/>
          <w:szCs w:val="24"/>
          <w:lang w:val="en-CA"/>
        </w:rPr>
        <w:t>Applicant</w:t>
      </w:r>
      <w:r w:rsidR="00187BB1" w:rsidRPr="004E4360">
        <w:rPr>
          <w:rFonts w:cstheme="minorHAnsi"/>
          <w:sz w:val="24"/>
          <w:szCs w:val="24"/>
          <w:lang w:val="en-CA"/>
        </w:rPr>
        <w:t>.</w:t>
      </w:r>
      <w:r w:rsidR="003B2DFC">
        <w:rPr>
          <w:rStyle w:val="FootnoteReference"/>
          <w:rFonts w:cstheme="minorHAnsi"/>
          <w:sz w:val="24"/>
          <w:szCs w:val="24"/>
          <w:lang w:val="en-CA"/>
        </w:rPr>
        <w:footnoteReference w:id="77"/>
      </w:r>
      <w:r w:rsidR="00187BB1" w:rsidRPr="004E4360">
        <w:rPr>
          <w:rFonts w:cstheme="minorHAnsi"/>
          <w:sz w:val="24"/>
          <w:szCs w:val="24"/>
          <w:lang w:val="en-CA"/>
        </w:rPr>
        <w:t xml:space="preserve"> Campbell testified that it was </w:t>
      </w:r>
      <w:r w:rsidR="004E4360" w:rsidRPr="004E4360">
        <w:rPr>
          <w:rFonts w:cstheme="minorHAnsi"/>
          <w:sz w:val="24"/>
          <w:szCs w:val="24"/>
          <w:lang w:val="en-CA"/>
        </w:rPr>
        <w:t xml:space="preserve">his understanding based upon communication from Flindall that it was </w:t>
      </w:r>
      <w:r w:rsidR="00187BB1" w:rsidRPr="004E4360">
        <w:rPr>
          <w:rFonts w:cstheme="minorHAnsi"/>
          <w:sz w:val="24"/>
          <w:szCs w:val="24"/>
          <w:lang w:val="en-CA"/>
        </w:rPr>
        <w:t>Jack who was keeping the duplicate notebook</w:t>
      </w:r>
      <w:r w:rsidR="003B2DFC" w:rsidRPr="004E4360">
        <w:rPr>
          <w:rFonts w:cstheme="minorHAnsi"/>
          <w:sz w:val="24"/>
          <w:szCs w:val="24"/>
          <w:lang w:val="en-CA"/>
        </w:rPr>
        <w:t xml:space="preserve"> and that he told Flindall ‘</w:t>
      </w:r>
      <w:r w:rsidR="003B2DFC" w:rsidRPr="004E4360">
        <w:rPr>
          <w:rFonts w:cstheme="minorHAnsi"/>
          <w:i/>
          <w:iCs/>
          <w:sz w:val="24"/>
          <w:szCs w:val="24"/>
          <w:lang w:val="en-CA"/>
        </w:rPr>
        <w:t>can’t have two notebooks.</w:t>
      </w:r>
      <w:r w:rsidR="003B2DFC" w:rsidRPr="004E4360">
        <w:rPr>
          <w:rFonts w:cstheme="minorHAnsi"/>
          <w:sz w:val="24"/>
          <w:szCs w:val="24"/>
          <w:lang w:val="en-CA"/>
        </w:rPr>
        <w:t>’</w:t>
      </w:r>
      <w:r w:rsidR="004E4360" w:rsidRPr="004E4360">
        <w:rPr>
          <w:rFonts w:cstheme="minorHAnsi"/>
          <w:sz w:val="24"/>
          <w:szCs w:val="24"/>
          <w:lang w:val="en-CA"/>
        </w:rPr>
        <w:t xml:space="preserve"> </w:t>
      </w:r>
      <w:r w:rsidR="004E4360">
        <w:rPr>
          <w:rFonts w:cstheme="minorHAnsi"/>
          <w:sz w:val="24"/>
          <w:szCs w:val="24"/>
          <w:lang w:val="en-CA"/>
        </w:rPr>
        <w:t>Campbell</w:t>
      </w:r>
      <w:r w:rsidR="004E4360" w:rsidRPr="004E4360">
        <w:rPr>
          <w:rFonts w:cstheme="minorHAnsi"/>
          <w:sz w:val="24"/>
          <w:szCs w:val="24"/>
          <w:lang w:val="en-CA"/>
        </w:rPr>
        <w:t xml:space="preserve"> </w:t>
      </w:r>
      <w:r w:rsidR="000441F0">
        <w:rPr>
          <w:rFonts w:cstheme="minorHAnsi"/>
          <w:sz w:val="24"/>
          <w:szCs w:val="24"/>
          <w:lang w:val="en-CA"/>
        </w:rPr>
        <w:t xml:space="preserve">testified he </w:t>
      </w:r>
      <w:r w:rsidR="004E4360" w:rsidRPr="004E4360">
        <w:rPr>
          <w:rFonts w:cstheme="minorHAnsi"/>
          <w:sz w:val="24"/>
          <w:szCs w:val="24"/>
          <w:lang w:val="en-CA"/>
        </w:rPr>
        <w:t xml:space="preserve">was </w:t>
      </w:r>
      <w:r w:rsidR="004E4360">
        <w:rPr>
          <w:rFonts w:cstheme="minorHAnsi"/>
          <w:sz w:val="24"/>
          <w:szCs w:val="24"/>
          <w:lang w:val="en-CA"/>
        </w:rPr>
        <w:t>NOT</w:t>
      </w:r>
      <w:r w:rsidR="004E4360" w:rsidRPr="004E4360">
        <w:rPr>
          <w:rFonts w:cstheme="minorHAnsi"/>
          <w:sz w:val="24"/>
          <w:szCs w:val="24"/>
          <w:lang w:val="en-CA"/>
        </w:rPr>
        <w:t xml:space="preserve"> aware that Payne was maintaining a second notebook solely on Jack</w:t>
      </w:r>
      <w:r w:rsidR="00656C25">
        <w:rPr>
          <w:rFonts w:cstheme="minorHAnsi"/>
          <w:sz w:val="24"/>
          <w:szCs w:val="24"/>
          <w:lang w:val="en-CA"/>
        </w:rPr>
        <w:t>.</w:t>
      </w:r>
      <w:r w:rsidR="003B2DFC">
        <w:rPr>
          <w:rStyle w:val="FootnoteReference"/>
          <w:rFonts w:cstheme="minorHAnsi"/>
          <w:sz w:val="24"/>
          <w:szCs w:val="24"/>
          <w:lang w:val="en-CA"/>
        </w:rPr>
        <w:footnoteReference w:id="78"/>
      </w:r>
    </w:p>
    <w:p w:rsidR="004E4360" w:rsidRPr="004E4360" w:rsidRDefault="004E4360" w:rsidP="000441F0">
      <w:pPr>
        <w:pStyle w:val="ListParagraph"/>
        <w:spacing w:line="240" w:lineRule="auto"/>
        <w:rPr>
          <w:rFonts w:cstheme="minorHAnsi"/>
          <w:sz w:val="24"/>
          <w:szCs w:val="24"/>
          <w:lang w:val="en-CA"/>
        </w:rPr>
      </w:pPr>
    </w:p>
    <w:p w:rsidR="004E4360" w:rsidRPr="004E4360" w:rsidRDefault="004E4360" w:rsidP="000441F0">
      <w:pPr>
        <w:pStyle w:val="ListParagraph"/>
        <w:numPr>
          <w:ilvl w:val="0"/>
          <w:numId w:val="2"/>
        </w:numPr>
        <w:ind w:hanging="720"/>
        <w:rPr>
          <w:rFonts w:cstheme="minorHAnsi"/>
          <w:i/>
          <w:iCs/>
          <w:sz w:val="24"/>
          <w:szCs w:val="24"/>
          <w:lang w:val="en-CA"/>
        </w:rPr>
      </w:pPr>
      <w:r>
        <w:rPr>
          <w:rFonts w:cstheme="minorHAnsi"/>
          <w:sz w:val="24"/>
          <w:szCs w:val="24"/>
          <w:lang w:val="en-CA"/>
        </w:rPr>
        <w:t>I</w:t>
      </w:r>
      <w:r w:rsidRPr="004E4360">
        <w:rPr>
          <w:rFonts w:cstheme="minorHAnsi"/>
          <w:sz w:val="24"/>
          <w:szCs w:val="24"/>
          <w:lang w:val="en-CA"/>
        </w:rPr>
        <w:t xml:space="preserve">f it was about Jack </w:t>
      </w:r>
      <w:r>
        <w:rPr>
          <w:rFonts w:cstheme="minorHAnsi"/>
          <w:sz w:val="24"/>
          <w:szCs w:val="24"/>
          <w:lang w:val="en-CA"/>
        </w:rPr>
        <w:t>maintaining</w:t>
      </w:r>
      <w:r w:rsidRPr="004E4360">
        <w:rPr>
          <w:rFonts w:cstheme="minorHAnsi"/>
          <w:sz w:val="24"/>
          <w:szCs w:val="24"/>
          <w:lang w:val="en-CA"/>
        </w:rPr>
        <w:t xml:space="preserve"> two notebooks </w:t>
      </w:r>
      <w:r>
        <w:rPr>
          <w:rFonts w:cstheme="minorHAnsi"/>
          <w:sz w:val="24"/>
          <w:szCs w:val="24"/>
          <w:lang w:val="en-CA"/>
        </w:rPr>
        <w:t xml:space="preserve">simultaneously </w:t>
      </w:r>
      <w:r w:rsidR="00684230">
        <w:rPr>
          <w:rFonts w:cstheme="minorHAnsi"/>
          <w:sz w:val="24"/>
          <w:szCs w:val="24"/>
          <w:lang w:val="en-CA"/>
        </w:rPr>
        <w:t xml:space="preserve">then why </w:t>
      </w:r>
      <w:r w:rsidR="00150870">
        <w:rPr>
          <w:rFonts w:cstheme="minorHAnsi"/>
          <w:sz w:val="24"/>
          <w:szCs w:val="24"/>
          <w:lang w:val="en-CA"/>
        </w:rPr>
        <w:t>didn’t anybody bring</w:t>
      </w:r>
      <w:r w:rsidR="000441F0">
        <w:rPr>
          <w:rFonts w:cstheme="minorHAnsi"/>
          <w:sz w:val="24"/>
          <w:szCs w:val="24"/>
          <w:lang w:val="en-CA"/>
        </w:rPr>
        <w:t xml:space="preserve"> </w:t>
      </w:r>
      <w:r w:rsidRPr="004E4360">
        <w:rPr>
          <w:rFonts w:cstheme="minorHAnsi"/>
          <w:sz w:val="24"/>
          <w:szCs w:val="24"/>
          <w:lang w:val="en-CA"/>
        </w:rPr>
        <w:t xml:space="preserve">that to Jack’s attention? </w:t>
      </w:r>
      <w:r>
        <w:rPr>
          <w:rFonts w:cstheme="minorHAnsi"/>
          <w:sz w:val="24"/>
          <w:szCs w:val="24"/>
          <w:lang w:val="en-CA"/>
        </w:rPr>
        <w:t xml:space="preserve">With so much negativity dumped on </w:t>
      </w:r>
      <w:r w:rsidR="00684230">
        <w:rPr>
          <w:rFonts w:cstheme="minorHAnsi"/>
          <w:sz w:val="24"/>
          <w:szCs w:val="24"/>
          <w:lang w:val="en-CA"/>
        </w:rPr>
        <w:t>Jack</w:t>
      </w:r>
      <w:r>
        <w:rPr>
          <w:rFonts w:cstheme="minorHAnsi"/>
          <w:sz w:val="24"/>
          <w:szCs w:val="24"/>
          <w:lang w:val="en-CA"/>
        </w:rPr>
        <w:t xml:space="preserve">, how come Jack was never reprimanded or at least advised not to keep a second notebook? </w:t>
      </w:r>
      <w:r w:rsidRPr="004E4360">
        <w:rPr>
          <w:rFonts w:cstheme="minorHAnsi"/>
          <w:sz w:val="24"/>
          <w:szCs w:val="24"/>
          <w:lang w:val="en-CA"/>
        </w:rPr>
        <w:t>How come there is not a single shred of evid</w:t>
      </w:r>
      <w:r>
        <w:rPr>
          <w:rFonts w:cstheme="minorHAnsi"/>
          <w:sz w:val="24"/>
          <w:szCs w:val="24"/>
          <w:lang w:val="en-CA"/>
        </w:rPr>
        <w:t>ence of its existence anywhere?</w:t>
      </w:r>
    </w:p>
    <w:p w:rsidR="003B2DFC" w:rsidRPr="003B2DFC" w:rsidRDefault="003B2DFC" w:rsidP="00176D7B">
      <w:pPr>
        <w:pStyle w:val="ListParagraph"/>
        <w:spacing w:line="240" w:lineRule="auto"/>
        <w:rPr>
          <w:rFonts w:cstheme="minorHAnsi"/>
          <w:sz w:val="24"/>
          <w:szCs w:val="24"/>
          <w:lang w:val="en-CA"/>
        </w:rPr>
      </w:pPr>
    </w:p>
    <w:p w:rsidR="003351DB" w:rsidRPr="007501F7" w:rsidRDefault="003B2DFC" w:rsidP="00176D7B">
      <w:pPr>
        <w:pStyle w:val="ListParagraph"/>
        <w:numPr>
          <w:ilvl w:val="0"/>
          <w:numId w:val="2"/>
        </w:numPr>
        <w:ind w:hanging="720"/>
        <w:rPr>
          <w:rFonts w:cstheme="minorHAnsi"/>
          <w:sz w:val="24"/>
          <w:szCs w:val="24"/>
          <w:lang w:val="en-CA"/>
        </w:rPr>
      </w:pPr>
      <w:r w:rsidRPr="007501F7">
        <w:rPr>
          <w:rFonts w:cstheme="minorHAnsi"/>
          <w:sz w:val="24"/>
          <w:szCs w:val="24"/>
          <w:lang w:val="en-CA"/>
        </w:rPr>
        <w:t xml:space="preserve">It is the position of the </w:t>
      </w:r>
      <w:r w:rsidR="00902709" w:rsidRPr="007501F7">
        <w:rPr>
          <w:rFonts w:cstheme="minorHAnsi"/>
          <w:sz w:val="24"/>
          <w:szCs w:val="24"/>
          <w:lang w:val="en-CA"/>
        </w:rPr>
        <w:t>Applicant</w:t>
      </w:r>
      <w:r w:rsidRPr="007501F7">
        <w:rPr>
          <w:rFonts w:cstheme="minorHAnsi"/>
          <w:sz w:val="24"/>
          <w:szCs w:val="24"/>
          <w:lang w:val="en-CA"/>
        </w:rPr>
        <w:t xml:space="preserve"> that Campbell did lie on the stand by testifying that his notation of </w:t>
      </w:r>
      <w:r w:rsidRPr="007501F7">
        <w:rPr>
          <w:rFonts w:cstheme="minorHAnsi"/>
          <w:i/>
          <w:iCs/>
          <w:sz w:val="24"/>
          <w:szCs w:val="24"/>
          <w:lang w:val="en-CA"/>
        </w:rPr>
        <w:t xml:space="preserve">‘can’t have two notebooks’ </w:t>
      </w:r>
      <w:r w:rsidRPr="007501F7">
        <w:rPr>
          <w:rFonts w:cstheme="minorHAnsi"/>
          <w:sz w:val="24"/>
          <w:szCs w:val="24"/>
          <w:lang w:val="en-CA"/>
        </w:rPr>
        <w:t xml:space="preserve">was directed at Jack. </w:t>
      </w:r>
      <w:r w:rsidR="00684230" w:rsidRPr="007501F7">
        <w:rPr>
          <w:rFonts w:cstheme="minorHAnsi"/>
          <w:sz w:val="24"/>
          <w:szCs w:val="24"/>
          <w:lang w:val="en-CA"/>
        </w:rPr>
        <w:t>T</w:t>
      </w:r>
      <w:r w:rsidR="00BA2369" w:rsidRPr="007501F7">
        <w:rPr>
          <w:rFonts w:cstheme="minorHAnsi"/>
          <w:sz w:val="24"/>
          <w:szCs w:val="24"/>
          <w:lang w:val="en-CA"/>
        </w:rPr>
        <w:t xml:space="preserve">he only possible person </w:t>
      </w:r>
      <w:r w:rsidR="00176D7B" w:rsidRPr="007501F7">
        <w:rPr>
          <w:rFonts w:cstheme="minorHAnsi"/>
          <w:sz w:val="24"/>
          <w:szCs w:val="24"/>
          <w:lang w:val="en-CA"/>
        </w:rPr>
        <w:t xml:space="preserve">his notebook notation </w:t>
      </w:r>
      <w:r w:rsidR="00BA2369" w:rsidRPr="007501F7">
        <w:rPr>
          <w:rFonts w:cstheme="minorHAnsi"/>
          <w:sz w:val="24"/>
          <w:szCs w:val="24"/>
          <w:lang w:val="en-CA"/>
        </w:rPr>
        <w:t>‘</w:t>
      </w:r>
      <w:r w:rsidR="00BA2369" w:rsidRPr="007501F7">
        <w:rPr>
          <w:rFonts w:cstheme="minorHAnsi"/>
          <w:i/>
          <w:iCs/>
          <w:sz w:val="24"/>
          <w:szCs w:val="24"/>
          <w:lang w:val="en-CA"/>
        </w:rPr>
        <w:t>can’t have two notebooks</w:t>
      </w:r>
      <w:r w:rsidR="00684230" w:rsidRPr="007501F7">
        <w:rPr>
          <w:rFonts w:cstheme="minorHAnsi"/>
          <w:sz w:val="24"/>
          <w:szCs w:val="24"/>
          <w:lang w:val="en-CA"/>
        </w:rPr>
        <w:t>’ related</w:t>
      </w:r>
      <w:r w:rsidR="00BA2369" w:rsidRPr="007501F7">
        <w:rPr>
          <w:rFonts w:cstheme="minorHAnsi"/>
          <w:sz w:val="24"/>
          <w:szCs w:val="24"/>
          <w:lang w:val="en-CA"/>
        </w:rPr>
        <w:t xml:space="preserve"> to was Payne.</w:t>
      </w:r>
    </w:p>
    <w:p w:rsidR="003351DB" w:rsidRPr="003351DB" w:rsidRDefault="003351DB" w:rsidP="00176D7B">
      <w:pPr>
        <w:pStyle w:val="ListParagraph"/>
        <w:spacing w:line="240" w:lineRule="auto"/>
        <w:rPr>
          <w:rFonts w:cstheme="minorHAnsi"/>
          <w:sz w:val="24"/>
          <w:szCs w:val="24"/>
        </w:rPr>
      </w:pPr>
    </w:p>
    <w:p w:rsidR="00073A68" w:rsidRDefault="003351DB" w:rsidP="00C94ECF">
      <w:pPr>
        <w:pStyle w:val="ListParagraph"/>
        <w:numPr>
          <w:ilvl w:val="0"/>
          <w:numId w:val="2"/>
        </w:numPr>
        <w:ind w:hanging="720"/>
        <w:rPr>
          <w:rFonts w:cstheme="minorHAnsi"/>
          <w:sz w:val="24"/>
          <w:szCs w:val="24"/>
        </w:rPr>
      </w:pPr>
      <w:r w:rsidRPr="003351DB">
        <w:rPr>
          <w:rFonts w:cstheme="minorHAnsi"/>
          <w:sz w:val="24"/>
          <w:szCs w:val="24"/>
        </w:rPr>
        <w:t>With respect to item 96, t</w:t>
      </w:r>
      <w:r w:rsidR="00CD51E3" w:rsidRPr="003351DB">
        <w:rPr>
          <w:rFonts w:cstheme="minorHAnsi"/>
          <w:sz w:val="24"/>
          <w:szCs w:val="24"/>
        </w:rPr>
        <w:t>hough Nie says he didn’t treat Jack any differently than any of his previous recruits</w:t>
      </w:r>
      <w:r w:rsidRPr="003351DB">
        <w:rPr>
          <w:rStyle w:val="FootnoteReference"/>
          <w:rFonts w:cstheme="minorHAnsi"/>
          <w:sz w:val="24"/>
          <w:szCs w:val="24"/>
        </w:rPr>
        <w:footnoteReference w:id="79"/>
      </w:r>
      <w:r w:rsidRPr="003351DB">
        <w:rPr>
          <w:rFonts w:cstheme="minorHAnsi"/>
          <w:sz w:val="24"/>
          <w:szCs w:val="24"/>
        </w:rPr>
        <w:t xml:space="preserve"> </w:t>
      </w:r>
      <w:r w:rsidR="00CD51E3" w:rsidRPr="003351DB">
        <w:rPr>
          <w:rFonts w:cstheme="minorHAnsi"/>
          <w:sz w:val="24"/>
          <w:szCs w:val="24"/>
        </w:rPr>
        <w:t xml:space="preserve">his cross examination revealed otherwise. He </w:t>
      </w:r>
      <w:r w:rsidRPr="003351DB">
        <w:rPr>
          <w:rFonts w:cstheme="minorHAnsi"/>
          <w:sz w:val="24"/>
          <w:szCs w:val="24"/>
        </w:rPr>
        <w:t xml:space="preserve">started preparing the </w:t>
      </w:r>
      <w:r w:rsidRPr="003351DB">
        <w:rPr>
          <w:rFonts w:eastAsia="Calibri" w:cstheme="minorHAnsi"/>
          <w:sz w:val="24"/>
          <w:szCs w:val="24"/>
          <w:lang w:val="en-CA" w:bidi="he-IL"/>
        </w:rPr>
        <w:t xml:space="preserve">PFC </w:t>
      </w:r>
      <w:r w:rsidRPr="003351DB">
        <w:rPr>
          <w:rFonts w:cstheme="minorHAnsi"/>
          <w:sz w:val="24"/>
          <w:szCs w:val="24"/>
        </w:rPr>
        <w:t xml:space="preserve">– the document that is required for termination of employment – on the first day of coaching </w:t>
      </w:r>
      <w:r w:rsidRPr="003351DB">
        <w:rPr>
          <w:rFonts w:cstheme="minorHAnsi"/>
          <w:sz w:val="24"/>
          <w:szCs w:val="24"/>
        </w:rPr>
        <w:lastRenderedPageBreak/>
        <w:t>Jack.</w:t>
      </w:r>
      <w:r w:rsidRPr="003351DB">
        <w:rPr>
          <w:rStyle w:val="FootnoteReference"/>
          <w:rFonts w:cstheme="minorHAnsi"/>
          <w:sz w:val="24"/>
          <w:szCs w:val="24"/>
        </w:rPr>
        <w:footnoteReference w:id="80"/>
      </w:r>
      <w:r w:rsidRPr="003351DB">
        <w:rPr>
          <w:rFonts w:cstheme="minorHAnsi"/>
          <w:sz w:val="24"/>
          <w:szCs w:val="24"/>
        </w:rPr>
        <w:t xml:space="preserve"> Thus essential</w:t>
      </w:r>
      <w:r w:rsidR="001B7C09">
        <w:rPr>
          <w:rFonts w:cstheme="minorHAnsi"/>
          <w:sz w:val="24"/>
          <w:szCs w:val="24"/>
        </w:rPr>
        <w:t>ly marking Jack for termination from day one.</w:t>
      </w:r>
      <w:r w:rsidRPr="003351DB">
        <w:rPr>
          <w:rFonts w:eastAsia="Calibri"/>
          <w:vertAlign w:val="superscript"/>
          <w:lang w:val="en-CA" w:bidi="he-IL"/>
        </w:rPr>
        <w:footnoteReference w:id="81"/>
      </w:r>
      <w:r w:rsidRPr="003351DB">
        <w:rPr>
          <w:rFonts w:eastAsia="Calibri" w:cstheme="minorHAnsi"/>
          <w:sz w:val="24"/>
          <w:szCs w:val="24"/>
          <w:lang w:val="en-CA" w:bidi="he-IL"/>
        </w:rPr>
        <w:t xml:space="preserve"> </w:t>
      </w:r>
      <w:r w:rsidR="00065162">
        <w:rPr>
          <w:rFonts w:eastAsia="Calibri" w:cstheme="minorHAnsi"/>
          <w:sz w:val="24"/>
          <w:szCs w:val="24"/>
        </w:rPr>
        <w:t xml:space="preserve">Not only </w:t>
      </w:r>
      <w:r w:rsidR="001B7C09">
        <w:rPr>
          <w:rFonts w:eastAsia="Calibri" w:cstheme="minorHAnsi"/>
          <w:sz w:val="24"/>
          <w:szCs w:val="24"/>
        </w:rPr>
        <w:t xml:space="preserve">did </w:t>
      </w:r>
      <w:r w:rsidR="00065162" w:rsidRPr="003351DB">
        <w:rPr>
          <w:rFonts w:eastAsia="Calibri" w:cstheme="minorHAnsi"/>
          <w:sz w:val="24"/>
          <w:szCs w:val="24"/>
        </w:rPr>
        <w:t>Nie d</w:t>
      </w:r>
      <w:r w:rsidR="00176D7B">
        <w:rPr>
          <w:rFonts w:eastAsia="Calibri" w:cstheme="minorHAnsi"/>
          <w:sz w:val="24"/>
          <w:szCs w:val="24"/>
        </w:rPr>
        <w:t>ocument</w:t>
      </w:r>
      <w:r w:rsidR="00065162" w:rsidRPr="003351DB">
        <w:rPr>
          <w:rFonts w:eastAsia="Calibri" w:cstheme="minorHAnsi"/>
          <w:sz w:val="24"/>
          <w:szCs w:val="24"/>
        </w:rPr>
        <w:t xml:space="preserve"> Jack negatively in PFC</w:t>
      </w:r>
      <w:r w:rsidR="00065162" w:rsidRPr="003351DB">
        <w:rPr>
          <w:rStyle w:val="FootnoteReference"/>
          <w:rFonts w:eastAsia="Calibri" w:cstheme="minorHAnsi"/>
          <w:sz w:val="24"/>
          <w:szCs w:val="24"/>
          <w:lang w:val="en-CA" w:bidi="he-IL"/>
        </w:rPr>
        <w:footnoteReference w:id="82"/>
      </w:r>
      <w:r w:rsidR="00065162" w:rsidRPr="003351DB">
        <w:rPr>
          <w:rFonts w:eastAsia="Calibri" w:cstheme="minorHAnsi"/>
          <w:sz w:val="24"/>
          <w:szCs w:val="24"/>
        </w:rPr>
        <w:t xml:space="preserve"> </w:t>
      </w:r>
      <w:r w:rsidR="00065162">
        <w:rPr>
          <w:rFonts w:eastAsia="Calibri" w:cstheme="minorHAnsi"/>
          <w:sz w:val="24"/>
          <w:szCs w:val="24"/>
        </w:rPr>
        <w:t>and rated</w:t>
      </w:r>
      <w:r w:rsidR="00065162" w:rsidRPr="003351DB">
        <w:rPr>
          <w:rFonts w:eastAsia="Calibri" w:cstheme="minorHAnsi"/>
          <w:sz w:val="24"/>
          <w:szCs w:val="24"/>
        </w:rPr>
        <w:t xml:space="preserve"> Jack negatively in PER 9 within the first hour of coaching Jack</w:t>
      </w:r>
      <w:r w:rsidR="00073A68">
        <w:rPr>
          <w:rFonts w:eastAsia="Calibri" w:cstheme="minorHAnsi"/>
          <w:sz w:val="24"/>
          <w:szCs w:val="24"/>
        </w:rPr>
        <w:t>,</w:t>
      </w:r>
      <w:r w:rsidR="00065162" w:rsidRPr="003351DB">
        <w:rPr>
          <w:rStyle w:val="FootnoteReference"/>
          <w:rFonts w:eastAsia="Calibri" w:cstheme="minorHAnsi"/>
          <w:sz w:val="24"/>
          <w:szCs w:val="24"/>
        </w:rPr>
        <w:footnoteReference w:id="83"/>
      </w:r>
      <w:r w:rsidR="00065162">
        <w:rPr>
          <w:rFonts w:eastAsia="Calibri" w:cstheme="minorHAnsi"/>
          <w:sz w:val="24"/>
          <w:szCs w:val="24"/>
        </w:rPr>
        <w:t xml:space="preserve"> but t</w:t>
      </w:r>
      <w:r w:rsidR="00065162" w:rsidRPr="003351DB">
        <w:rPr>
          <w:rFonts w:eastAsia="Calibri" w:cstheme="minorHAnsi"/>
          <w:sz w:val="24"/>
          <w:szCs w:val="24"/>
        </w:rPr>
        <w:t>o ad</w:t>
      </w:r>
      <w:r w:rsidR="00065162">
        <w:rPr>
          <w:rFonts w:eastAsia="Calibri" w:cstheme="minorHAnsi"/>
          <w:sz w:val="24"/>
          <w:szCs w:val="24"/>
        </w:rPr>
        <w:t>d insult to injury Nie documented</w:t>
      </w:r>
      <w:r w:rsidR="00065162" w:rsidRPr="003351DB">
        <w:rPr>
          <w:rFonts w:eastAsia="Calibri" w:cstheme="minorHAnsi"/>
          <w:sz w:val="24"/>
          <w:szCs w:val="24"/>
        </w:rPr>
        <w:t xml:space="preserve"> Jack </w:t>
      </w:r>
      <w:r w:rsidR="00073A68">
        <w:rPr>
          <w:rFonts w:eastAsia="Calibri" w:cstheme="minorHAnsi"/>
          <w:sz w:val="24"/>
          <w:szCs w:val="24"/>
        </w:rPr>
        <w:t xml:space="preserve">negatively </w:t>
      </w:r>
      <w:r w:rsidR="00065162" w:rsidRPr="003351DB">
        <w:rPr>
          <w:rFonts w:eastAsia="Calibri" w:cstheme="minorHAnsi"/>
          <w:sz w:val="24"/>
          <w:szCs w:val="24"/>
        </w:rPr>
        <w:t>for something that turned out to be unfounded.</w:t>
      </w:r>
      <w:r w:rsidR="00065162" w:rsidRPr="003351DB">
        <w:rPr>
          <w:rStyle w:val="FootnoteReference"/>
          <w:rFonts w:eastAsia="Calibri" w:cstheme="minorHAnsi"/>
          <w:sz w:val="24"/>
          <w:szCs w:val="24"/>
        </w:rPr>
        <w:footnoteReference w:id="84"/>
      </w:r>
      <w:r w:rsidR="00065162">
        <w:rPr>
          <w:rFonts w:eastAsia="Calibri" w:cstheme="minorHAnsi"/>
          <w:sz w:val="24"/>
          <w:szCs w:val="24"/>
        </w:rPr>
        <w:t xml:space="preserve"> </w:t>
      </w:r>
      <w:r w:rsidRPr="00065162">
        <w:rPr>
          <w:rFonts w:cstheme="minorHAnsi"/>
          <w:sz w:val="24"/>
          <w:szCs w:val="24"/>
        </w:rPr>
        <w:t xml:space="preserve">Nie </w:t>
      </w:r>
      <w:r w:rsidR="00CD51E3" w:rsidRPr="00065162">
        <w:rPr>
          <w:rFonts w:cstheme="minorHAnsi"/>
          <w:sz w:val="24"/>
          <w:szCs w:val="24"/>
        </w:rPr>
        <w:t>even document</w:t>
      </w:r>
      <w:r w:rsidRPr="00065162">
        <w:rPr>
          <w:rFonts w:cstheme="minorHAnsi"/>
          <w:sz w:val="24"/>
          <w:szCs w:val="24"/>
        </w:rPr>
        <w:t>ed</w:t>
      </w:r>
      <w:r w:rsidR="00CD51E3" w:rsidRPr="00065162">
        <w:rPr>
          <w:rFonts w:cstheme="minorHAnsi"/>
          <w:sz w:val="24"/>
          <w:szCs w:val="24"/>
        </w:rPr>
        <w:t xml:space="preserve"> </w:t>
      </w:r>
      <w:r w:rsidR="00065162">
        <w:rPr>
          <w:rFonts w:cstheme="minorHAnsi"/>
          <w:sz w:val="24"/>
          <w:szCs w:val="24"/>
        </w:rPr>
        <w:t xml:space="preserve">retroactively </w:t>
      </w:r>
      <w:r w:rsidR="00CD51E3" w:rsidRPr="00065162">
        <w:rPr>
          <w:rFonts w:cstheme="minorHAnsi"/>
          <w:sz w:val="24"/>
          <w:szCs w:val="24"/>
        </w:rPr>
        <w:t>something that he observed of Jack dating back to June 2009.</w:t>
      </w:r>
      <w:r w:rsidR="00D136BC">
        <w:rPr>
          <w:rStyle w:val="FootnoteReference"/>
          <w:rFonts w:cstheme="minorHAnsi"/>
          <w:sz w:val="24"/>
          <w:szCs w:val="24"/>
        </w:rPr>
        <w:footnoteReference w:id="85"/>
      </w:r>
      <w:r w:rsidR="00CD51E3" w:rsidRPr="00065162">
        <w:rPr>
          <w:rFonts w:cstheme="minorHAnsi"/>
          <w:sz w:val="24"/>
          <w:szCs w:val="24"/>
        </w:rPr>
        <w:t xml:space="preserve"> </w:t>
      </w:r>
      <w:r w:rsidR="00065162">
        <w:rPr>
          <w:rFonts w:cstheme="minorHAnsi"/>
          <w:sz w:val="24"/>
          <w:szCs w:val="24"/>
        </w:rPr>
        <w:t>Nie</w:t>
      </w:r>
      <w:r w:rsidR="006D3D3F" w:rsidRPr="00065162">
        <w:rPr>
          <w:rFonts w:cstheme="minorHAnsi"/>
          <w:sz w:val="24"/>
          <w:szCs w:val="24"/>
        </w:rPr>
        <w:t xml:space="preserve"> did not have a PFC on 5 of his previous recruits</w:t>
      </w:r>
      <w:r w:rsidRPr="00065162">
        <w:rPr>
          <w:rFonts w:cstheme="minorHAnsi"/>
          <w:sz w:val="24"/>
          <w:szCs w:val="24"/>
        </w:rPr>
        <w:t>,</w:t>
      </w:r>
      <w:r w:rsidR="006D3D3F" w:rsidRPr="00065162">
        <w:rPr>
          <w:rFonts w:cstheme="minorHAnsi"/>
          <w:sz w:val="24"/>
          <w:szCs w:val="24"/>
        </w:rPr>
        <w:t xml:space="preserve"> but did on a Harry Allen Ch</w:t>
      </w:r>
      <w:r w:rsidR="00176D7B">
        <w:rPr>
          <w:rFonts w:cstheme="minorHAnsi"/>
          <w:sz w:val="24"/>
          <w:szCs w:val="24"/>
        </w:rPr>
        <w:t xml:space="preserve">ase who was also a minority. </w:t>
      </w:r>
      <w:r w:rsidRPr="00065162">
        <w:rPr>
          <w:rFonts w:cstheme="minorHAnsi"/>
          <w:sz w:val="24"/>
          <w:szCs w:val="24"/>
        </w:rPr>
        <w:t xml:space="preserve">Unfortunately, </w:t>
      </w:r>
      <w:r w:rsidR="006D3D3F" w:rsidRPr="00065162">
        <w:rPr>
          <w:rFonts w:cstheme="minorHAnsi"/>
          <w:sz w:val="24"/>
          <w:szCs w:val="24"/>
        </w:rPr>
        <w:t xml:space="preserve">this was not explored during the hearing due to objections from </w:t>
      </w:r>
      <w:r w:rsidR="00CB0151" w:rsidRPr="00065162">
        <w:rPr>
          <w:rFonts w:cstheme="minorHAnsi"/>
          <w:sz w:val="24"/>
          <w:szCs w:val="24"/>
        </w:rPr>
        <w:t>Counsel</w:t>
      </w:r>
      <w:r w:rsidR="006D3D3F" w:rsidRPr="00065162">
        <w:rPr>
          <w:rFonts w:cstheme="minorHAnsi"/>
          <w:sz w:val="24"/>
          <w:szCs w:val="24"/>
        </w:rPr>
        <w:t xml:space="preserve"> and cautions from Mr. Vice Chair</w:t>
      </w:r>
      <w:r w:rsidRPr="00065162">
        <w:rPr>
          <w:rFonts w:cstheme="minorHAnsi"/>
          <w:sz w:val="24"/>
          <w:szCs w:val="24"/>
        </w:rPr>
        <w:t>.</w:t>
      </w:r>
    </w:p>
    <w:p w:rsidR="00073A68" w:rsidRPr="00073A68" w:rsidRDefault="00073A68" w:rsidP="00176D7B">
      <w:pPr>
        <w:pStyle w:val="ListParagraph"/>
        <w:spacing w:line="240" w:lineRule="auto"/>
        <w:rPr>
          <w:rFonts w:cstheme="minorHAnsi"/>
          <w:sz w:val="24"/>
          <w:szCs w:val="24"/>
        </w:rPr>
      </w:pPr>
    </w:p>
    <w:p w:rsidR="00176D7B" w:rsidRDefault="00A34373" w:rsidP="00176D7B">
      <w:pPr>
        <w:pStyle w:val="ListParagraph"/>
        <w:numPr>
          <w:ilvl w:val="0"/>
          <w:numId w:val="2"/>
        </w:numPr>
        <w:ind w:hanging="720"/>
        <w:rPr>
          <w:rFonts w:cstheme="minorHAnsi"/>
          <w:sz w:val="24"/>
          <w:szCs w:val="24"/>
        </w:rPr>
      </w:pPr>
      <w:r w:rsidRPr="00073A68">
        <w:rPr>
          <w:rFonts w:cstheme="minorHAnsi"/>
          <w:sz w:val="24"/>
          <w:szCs w:val="24"/>
        </w:rPr>
        <w:t xml:space="preserve">Nie testified that he understood the definition of ‘constructive criticism’ and agreed with </w:t>
      </w:r>
      <w:proofErr w:type="spellStart"/>
      <w:r w:rsidRPr="00073A68">
        <w:rPr>
          <w:rFonts w:cstheme="minorHAnsi"/>
          <w:sz w:val="24"/>
          <w:szCs w:val="24"/>
        </w:rPr>
        <w:t>dictionary.com</w:t>
      </w:r>
      <w:r w:rsidR="00176D7B">
        <w:rPr>
          <w:rFonts w:cstheme="minorHAnsi"/>
          <w:sz w:val="24"/>
          <w:szCs w:val="24"/>
        </w:rPr>
        <w:t>’</w:t>
      </w:r>
      <w:r w:rsidRPr="00073A68">
        <w:rPr>
          <w:rFonts w:cstheme="minorHAnsi"/>
          <w:sz w:val="24"/>
          <w:szCs w:val="24"/>
        </w:rPr>
        <w:t>s</w:t>
      </w:r>
      <w:proofErr w:type="spellEnd"/>
      <w:r w:rsidRPr="00073A68">
        <w:rPr>
          <w:rFonts w:cstheme="minorHAnsi"/>
          <w:sz w:val="24"/>
          <w:szCs w:val="24"/>
        </w:rPr>
        <w:t xml:space="preserve"> definition of those two words.</w:t>
      </w:r>
      <w:r w:rsidRPr="003351DB">
        <w:rPr>
          <w:rStyle w:val="FootnoteReference"/>
          <w:rFonts w:cstheme="minorHAnsi"/>
          <w:sz w:val="24"/>
          <w:szCs w:val="24"/>
        </w:rPr>
        <w:footnoteReference w:id="86"/>
      </w:r>
    </w:p>
    <w:p w:rsidR="00176D7B" w:rsidRPr="00176D7B" w:rsidRDefault="00176D7B" w:rsidP="00176D7B">
      <w:pPr>
        <w:pStyle w:val="ListParagraph"/>
        <w:spacing w:line="240" w:lineRule="auto"/>
        <w:rPr>
          <w:rFonts w:cstheme="minorHAnsi"/>
          <w:sz w:val="24"/>
          <w:szCs w:val="24"/>
        </w:rPr>
      </w:pPr>
    </w:p>
    <w:p w:rsidR="00A34373" w:rsidRPr="00176D7B" w:rsidRDefault="00FB28FF" w:rsidP="00176D7B">
      <w:pPr>
        <w:pStyle w:val="ListParagraph"/>
        <w:numPr>
          <w:ilvl w:val="0"/>
          <w:numId w:val="2"/>
        </w:numPr>
        <w:ind w:hanging="720"/>
        <w:rPr>
          <w:rFonts w:cstheme="minorHAnsi"/>
          <w:sz w:val="24"/>
          <w:szCs w:val="24"/>
        </w:rPr>
      </w:pPr>
      <w:r w:rsidRPr="00176D7B">
        <w:rPr>
          <w:rFonts w:cstheme="minorHAnsi"/>
          <w:sz w:val="24"/>
          <w:szCs w:val="24"/>
        </w:rPr>
        <w:t xml:space="preserve">Nie demonstrated this ‘constructive criticism’ of the </w:t>
      </w:r>
      <w:r w:rsidR="00902709" w:rsidRPr="00176D7B">
        <w:rPr>
          <w:rFonts w:cstheme="minorHAnsi"/>
          <w:sz w:val="24"/>
          <w:szCs w:val="24"/>
        </w:rPr>
        <w:t>Applicant</w:t>
      </w:r>
      <w:r w:rsidRPr="00176D7B">
        <w:rPr>
          <w:rFonts w:cstheme="minorHAnsi"/>
          <w:sz w:val="24"/>
          <w:szCs w:val="24"/>
        </w:rPr>
        <w:t xml:space="preserve"> and Mr. Vice Chair got the point the </w:t>
      </w:r>
      <w:r w:rsidR="00902709" w:rsidRPr="00176D7B">
        <w:rPr>
          <w:rFonts w:cstheme="minorHAnsi"/>
          <w:sz w:val="24"/>
          <w:szCs w:val="24"/>
        </w:rPr>
        <w:t>Applicant</w:t>
      </w:r>
      <w:r w:rsidR="00E21C8B" w:rsidRPr="00176D7B">
        <w:rPr>
          <w:rFonts w:cstheme="minorHAnsi"/>
          <w:sz w:val="24"/>
          <w:szCs w:val="24"/>
        </w:rPr>
        <w:t xml:space="preserve">’s representative </w:t>
      </w:r>
      <w:r w:rsidRPr="00176D7B">
        <w:rPr>
          <w:rFonts w:cstheme="minorHAnsi"/>
          <w:sz w:val="24"/>
          <w:szCs w:val="24"/>
        </w:rPr>
        <w:t>was trying to address.</w:t>
      </w:r>
      <w:r>
        <w:rPr>
          <w:rStyle w:val="FootnoteReference"/>
          <w:rFonts w:cstheme="minorHAnsi"/>
          <w:sz w:val="24"/>
          <w:szCs w:val="24"/>
        </w:rPr>
        <w:footnoteReference w:id="87"/>
      </w:r>
    </w:p>
    <w:p w:rsidR="00A34373" w:rsidRPr="00A34373" w:rsidRDefault="00A34373" w:rsidP="00176D7B">
      <w:pPr>
        <w:pStyle w:val="ListParagraph"/>
        <w:spacing w:line="240" w:lineRule="auto"/>
        <w:rPr>
          <w:rFonts w:cstheme="minorHAnsi"/>
          <w:sz w:val="24"/>
          <w:szCs w:val="24"/>
        </w:rPr>
      </w:pPr>
    </w:p>
    <w:p w:rsidR="00176D7B" w:rsidRDefault="00176D7B" w:rsidP="00176D7B">
      <w:pPr>
        <w:pStyle w:val="ListParagraph"/>
        <w:numPr>
          <w:ilvl w:val="0"/>
          <w:numId w:val="2"/>
        </w:numPr>
        <w:ind w:hanging="720"/>
        <w:rPr>
          <w:rFonts w:cstheme="minorHAnsi"/>
          <w:sz w:val="24"/>
          <w:szCs w:val="24"/>
        </w:rPr>
      </w:pPr>
      <w:r>
        <w:rPr>
          <w:rFonts w:cstheme="minorHAnsi"/>
          <w:sz w:val="24"/>
          <w:szCs w:val="24"/>
        </w:rPr>
        <w:t>Nie understood and accepted</w:t>
      </w:r>
      <w:r w:rsidR="00A34373">
        <w:rPr>
          <w:rFonts w:cstheme="minorHAnsi"/>
          <w:sz w:val="24"/>
          <w:szCs w:val="24"/>
        </w:rPr>
        <w:t xml:space="preserve"> </w:t>
      </w:r>
      <w:proofErr w:type="spellStart"/>
      <w:r w:rsidR="00A34373">
        <w:rPr>
          <w:rFonts w:cstheme="minorHAnsi"/>
          <w:sz w:val="24"/>
          <w:szCs w:val="24"/>
        </w:rPr>
        <w:t>dictionary.com</w:t>
      </w:r>
      <w:r w:rsidR="00E21C8B">
        <w:rPr>
          <w:rFonts w:cstheme="minorHAnsi"/>
          <w:sz w:val="24"/>
          <w:szCs w:val="24"/>
        </w:rPr>
        <w:t>’</w:t>
      </w:r>
      <w:r w:rsidR="00A34373">
        <w:rPr>
          <w:rFonts w:cstheme="minorHAnsi"/>
          <w:sz w:val="24"/>
          <w:szCs w:val="24"/>
        </w:rPr>
        <w:t>s</w:t>
      </w:r>
      <w:proofErr w:type="spellEnd"/>
      <w:r w:rsidR="00A34373">
        <w:rPr>
          <w:rFonts w:cstheme="minorHAnsi"/>
          <w:sz w:val="24"/>
          <w:szCs w:val="24"/>
        </w:rPr>
        <w:t xml:space="preserve"> definition of ‘subjective’ and ‘objective’.</w:t>
      </w:r>
      <w:r w:rsidR="00FB28FF">
        <w:rPr>
          <w:rStyle w:val="FootnoteReference"/>
          <w:rFonts w:cstheme="minorHAnsi"/>
          <w:sz w:val="24"/>
          <w:szCs w:val="24"/>
        </w:rPr>
        <w:footnoteReference w:id="88"/>
      </w:r>
    </w:p>
    <w:p w:rsidR="00176D7B" w:rsidRPr="00176D7B" w:rsidRDefault="00176D7B" w:rsidP="00176D7B">
      <w:pPr>
        <w:pStyle w:val="ListParagraph"/>
        <w:spacing w:line="240" w:lineRule="auto"/>
        <w:rPr>
          <w:rFonts w:cstheme="minorHAnsi"/>
          <w:sz w:val="24"/>
          <w:szCs w:val="24"/>
        </w:rPr>
      </w:pPr>
    </w:p>
    <w:p w:rsidR="00A34373" w:rsidRPr="00176D7B" w:rsidRDefault="00A34373" w:rsidP="00176D7B">
      <w:pPr>
        <w:pStyle w:val="ListParagraph"/>
        <w:numPr>
          <w:ilvl w:val="0"/>
          <w:numId w:val="2"/>
        </w:numPr>
        <w:ind w:hanging="720"/>
        <w:rPr>
          <w:rFonts w:cstheme="minorHAnsi"/>
          <w:sz w:val="24"/>
          <w:szCs w:val="24"/>
        </w:rPr>
      </w:pPr>
      <w:r w:rsidRPr="00176D7B">
        <w:rPr>
          <w:rFonts w:cstheme="minorHAnsi"/>
          <w:sz w:val="24"/>
          <w:szCs w:val="24"/>
        </w:rPr>
        <w:t xml:space="preserve">It is clear </w:t>
      </w:r>
      <w:r w:rsidR="003A6FAF" w:rsidRPr="00176D7B">
        <w:rPr>
          <w:rFonts w:cstheme="minorHAnsi"/>
          <w:sz w:val="24"/>
          <w:szCs w:val="24"/>
        </w:rPr>
        <w:t>Nie</w:t>
      </w:r>
      <w:r w:rsidRPr="00176D7B">
        <w:rPr>
          <w:rFonts w:cstheme="minorHAnsi"/>
          <w:sz w:val="24"/>
          <w:szCs w:val="24"/>
        </w:rPr>
        <w:t xml:space="preserve"> had a preconceived opinion of </w:t>
      </w:r>
      <w:r w:rsidR="003A6FAF" w:rsidRPr="00176D7B">
        <w:rPr>
          <w:rFonts w:cstheme="minorHAnsi"/>
          <w:sz w:val="24"/>
          <w:szCs w:val="24"/>
        </w:rPr>
        <w:t>Jack</w:t>
      </w:r>
      <w:r w:rsidRPr="00176D7B">
        <w:rPr>
          <w:rFonts w:cstheme="minorHAnsi"/>
          <w:sz w:val="24"/>
          <w:szCs w:val="24"/>
        </w:rPr>
        <w:t xml:space="preserve"> before he </w:t>
      </w:r>
      <w:r w:rsidR="003A6FAF" w:rsidRPr="00176D7B">
        <w:rPr>
          <w:rFonts w:cstheme="minorHAnsi"/>
          <w:sz w:val="24"/>
          <w:szCs w:val="24"/>
        </w:rPr>
        <w:t xml:space="preserve">even </w:t>
      </w:r>
      <w:r w:rsidRPr="00176D7B">
        <w:rPr>
          <w:rFonts w:cstheme="minorHAnsi"/>
          <w:sz w:val="24"/>
          <w:szCs w:val="24"/>
        </w:rPr>
        <w:t>started coaching him.</w:t>
      </w:r>
      <w:r>
        <w:rPr>
          <w:rStyle w:val="FootnoteReference"/>
          <w:rFonts w:cstheme="minorHAnsi"/>
          <w:sz w:val="24"/>
          <w:szCs w:val="24"/>
        </w:rPr>
        <w:footnoteReference w:id="89"/>
      </w:r>
    </w:p>
    <w:p w:rsidR="00B824E7" w:rsidRPr="00B824E7" w:rsidRDefault="00B824E7" w:rsidP="00176D7B">
      <w:pPr>
        <w:pStyle w:val="ListParagraph"/>
        <w:spacing w:line="240" w:lineRule="auto"/>
        <w:rPr>
          <w:rFonts w:cstheme="minorHAnsi"/>
          <w:sz w:val="24"/>
          <w:szCs w:val="24"/>
        </w:rPr>
      </w:pPr>
    </w:p>
    <w:p w:rsidR="005C0C4F" w:rsidRDefault="003A6FAF" w:rsidP="00176D7B">
      <w:pPr>
        <w:pStyle w:val="ListParagraph"/>
        <w:numPr>
          <w:ilvl w:val="0"/>
          <w:numId w:val="2"/>
        </w:numPr>
        <w:ind w:hanging="720"/>
        <w:rPr>
          <w:rFonts w:cstheme="minorHAnsi"/>
          <w:sz w:val="24"/>
          <w:szCs w:val="24"/>
        </w:rPr>
      </w:pPr>
      <w:r>
        <w:rPr>
          <w:rFonts w:cstheme="minorHAnsi"/>
          <w:sz w:val="24"/>
          <w:szCs w:val="24"/>
        </w:rPr>
        <w:t>Nie</w:t>
      </w:r>
      <w:r w:rsidR="00B824E7">
        <w:rPr>
          <w:rFonts w:cstheme="minorHAnsi"/>
          <w:sz w:val="24"/>
          <w:szCs w:val="24"/>
        </w:rPr>
        <w:t xml:space="preserve"> had a very subjective view of </w:t>
      </w:r>
      <w:r>
        <w:rPr>
          <w:rFonts w:cstheme="minorHAnsi"/>
          <w:sz w:val="24"/>
          <w:szCs w:val="24"/>
        </w:rPr>
        <w:t xml:space="preserve">the </w:t>
      </w:r>
      <w:r w:rsidR="00902709">
        <w:rPr>
          <w:rFonts w:cstheme="minorHAnsi"/>
          <w:sz w:val="24"/>
          <w:szCs w:val="24"/>
        </w:rPr>
        <w:t>Applicant</w:t>
      </w:r>
      <w:r w:rsidR="00B824E7">
        <w:rPr>
          <w:rFonts w:cstheme="minorHAnsi"/>
          <w:sz w:val="24"/>
          <w:szCs w:val="24"/>
        </w:rPr>
        <w:t xml:space="preserve"> and this view was dominant of any possible objective view that was in front of Nie. He says Jack lacked ‘common se</w:t>
      </w:r>
      <w:r w:rsidR="005C0C4F">
        <w:rPr>
          <w:rFonts w:cstheme="minorHAnsi"/>
          <w:sz w:val="24"/>
          <w:szCs w:val="24"/>
        </w:rPr>
        <w:t>nse’. As an example he described</w:t>
      </w:r>
      <w:r w:rsidR="00B824E7">
        <w:rPr>
          <w:rFonts w:cstheme="minorHAnsi"/>
          <w:sz w:val="24"/>
          <w:szCs w:val="24"/>
        </w:rPr>
        <w:t xml:space="preserve"> a scenario of two people. A man with a black eye and a woman with a bloody knuckle. </w:t>
      </w:r>
      <w:r w:rsidR="00176D7B">
        <w:rPr>
          <w:rFonts w:cstheme="minorHAnsi"/>
          <w:sz w:val="24"/>
          <w:szCs w:val="24"/>
        </w:rPr>
        <w:t>Nie</w:t>
      </w:r>
      <w:r w:rsidR="00B824E7">
        <w:rPr>
          <w:rFonts w:cstheme="minorHAnsi"/>
          <w:sz w:val="24"/>
          <w:szCs w:val="24"/>
        </w:rPr>
        <w:t xml:space="preserve"> implies that any ordinary person, even a person without any education would come to the realization that the lady socked the man on the eye. But in Jack’s case he says that </w:t>
      </w:r>
      <w:r w:rsidR="00B824E7" w:rsidRPr="005C0C4F">
        <w:rPr>
          <w:rFonts w:cstheme="minorHAnsi"/>
          <w:sz w:val="24"/>
          <w:szCs w:val="24"/>
        </w:rPr>
        <w:t>‘</w:t>
      </w:r>
      <w:r w:rsidR="00B824E7" w:rsidRPr="00176D7B">
        <w:rPr>
          <w:rFonts w:cstheme="minorHAnsi"/>
          <w:i/>
          <w:iCs/>
          <w:sz w:val="24"/>
          <w:szCs w:val="24"/>
        </w:rPr>
        <w:t>Jack wouldn’t be able to pick up those obvious clues.</w:t>
      </w:r>
      <w:r w:rsidR="00B824E7" w:rsidRPr="005C0C4F">
        <w:rPr>
          <w:rFonts w:cstheme="minorHAnsi"/>
          <w:sz w:val="24"/>
          <w:szCs w:val="24"/>
        </w:rPr>
        <w:t>’</w:t>
      </w:r>
      <w:r w:rsidR="007769AB" w:rsidRPr="005C0C4F">
        <w:rPr>
          <w:rStyle w:val="FootnoteReference"/>
          <w:rFonts w:cstheme="minorHAnsi"/>
          <w:sz w:val="24"/>
          <w:szCs w:val="24"/>
        </w:rPr>
        <w:footnoteReference w:id="90"/>
      </w:r>
      <w:r w:rsidR="001B7C09">
        <w:rPr>
          <w:rFonts w:cstheme="minorHAnsi"/>
          <w:sz w:val="24"/>
          <w:szCs w:val="24"/>
        </w:rPr>
        <w:t xml:space="preserve"> Little did </w:t>
      </w:r>
      <w:r w:rsidR="00176D7B">
        <w:rPr>
          <w:rFonts w:cstheme="minorHAnsi"/>
          <w:sz w:val="24"/>
          <w:szCs w:val="24"/>
        </w:rPr>
        <w:t>Nie</w:t>
      </w:r>
      <w:r w:rsidR="001B7C09">
        <w:rPr>
          <w:rFonts w:cstheme="minorHAnsi"/>
          <w:sz w:val="24"/>
          <w:szCs w:val="24"/>
        </w:rPr>
        <w:t xml:space="preserve"> know that he was describing his prejudice of </w:t>
      </w:r>
      <w:proofErr w:type="gramStart"/>
      <w:r w:rsidR="001B7C09">
        <w:rPr>
          <w:rFonts w:cstheme="minorHAnsi"/>
          <w:sz w:val="24"/>
          <w:szCs w:val="24"/>
        </w:rPr>
        <w:t>Jack.</w:t>
      </w:r>
      <w:proofErr w:type="gramEnd"/>
    </w:p>
    <w:p w:rsidR="005C0C4F" w:rsidRPr="005C0C4F" w:rsidRDefault="005C0C4F" w:rsidP="00176D7B">
      <w:pPr>
        <w:pStyle w:val="ListParagraph"/>
        <w:spacing w:line="240" w:lineRule="auto"/>
        <w:rPr>
          <w:rFonts w:cstheme="minorHAnsi"/>
          <w:sz w:val="24"/>
          <w:szCs w:val="24"/>
        </w:rPr>
      </w:pPr>
    </w:p>
    <w:p w:rsidR="00BA1EC0" w:rsidRPr="005C0C4F" w:rsidRDefault="007769AB" w:rsidP="00C94ECF">
      <w:pPr>
        <w:pStyle w:val="ListParagraph"/>
        <w:numPr>
          <w:ilvl w:val="0"/>
          <w:numId w:val="2"/>
        </w:numPr>
        <w:ind w:hanging="720"/>
        <w:rPr>
          <w:rFonts w:cstheme="minorHAnsi"/>
          <w:sz w:val="24"/>
          <w:szCs w:val="24"/>
        </w:rPr>
      </w:pPr>
      <w:r w:rsidRPr="005C0C4F">
        <w:rPr>
          <w:rFonts w:cstheme="minorHAnsi"/>
          <w:sz w:val="24"/>
          <w:szCs w:val="24"/>
        </w:rPr>
        <w:t xml:space="preserve">Prejudice means: </w:t>
      </w:r>
      <w:r w:rsidRPr="005C0C4F">
        <w:rPr>
          <w:rFonts w:cstheme="minorHAnsi"/>
          <w:i/>
          <w:sz w:val="24"/>
          <w:szCs w:val="24"/>
        </w:rPr>
        <w:t>an unfavorable opinion or feeling formed beforehand or without knowledge, thought, or reason; any preconceived opinion or feeling, either favorable or unfavorable.</w:t>
      </w:r>
    </w:p>
    <w:p w:rsidR="00BA1EC0" w:rsidRPr="00BA1EC0" w:rsidRDefault="00BA1EC0" w:rsidP="00176D7B">
      <w:pPr>
        <w:pStyle w:val="ListParagraph"/>
        <w:spacing w:line="240" w:lineRule="auto"/>
        <w:rPr>
          <w:rFonts w:cstheme="minorHAnsi"/>
          <w:sz w:val="24"/>
          <w:szCs w:val="24"/>
        </w:rPr>
      </w:pPr>
    </w:p>
    <w:p w:rsidR="00BA1EC0" w:rsidRPr="00BA1EC0" w:rsidRDefault="0002123E" w:rsidP="00C94ECF">
      <w:pPr>
        <w:pStyle w:val="ListParagraph"/>
        <w:numPr>
          <w:ilvl w:val="0"/>
          <w:numId w:val="2"/>
        </w:numPr>
        <w:ind w:hanging="720"/>
        <w:rPr>
          <w:rFonts w:cstheme="minorHAnsi"/>
          <w:i/>
          <w:sz w:val="24"/>
          <w:szCs w:val="24"/>
        </w:rPr>
      </w:pPr>
      <w:r w:rsidRPr="00BA1EC0">
        <w:rPr>
          <w:rFonts w:cstheme="minorHAnsi"/>
          <w:sz w:val="24"/>
          <w:szCs w:val="24"/>
        </w:rPr>
        <w:lastRenderedPageBreak/>
        <w:t xml:space="preserve">Nie </w:t>
      </w:r>
      <w:r w:rsidR="006D3D3F" w:rsidRPr="00BA1EC0">
        <w:rPr>
          <w:rFonts w:cstheme="minorHAnsi"/>
          <w:sz w:val="24"/>
          <w:szCs w:val="24"/>
        </w:rPr>
        <w:t>also agreed that all of his PFC chronology which was used in his three PERs of Jack and Jack’s termination of employment were done from a subjective point of view.</w:t>
      </w:r>
      <w:r w:rsidR="006D3D3F">
        <w:rPr>
          <w:rStyle w:val="FootnoteReference"/>
          <w:rFonts w:cstheme="minorHAnsi"/>
          <w:sz w:val="24"/>
          <w:szCs w:val="24"/>
        </w:rPr>
        <w:footnoteReference w:id="91"/>
      </w:r>
      <w:r w:rsidR="006D3D3F" w:rsidRPr="00BA1EC0">
        <w:rPr>
          <w:rFonts w:cstheme="minorHAnsi"/>
          <w:sz w:val="24"/>
          <w:szCs w:val="24"/>
        </w:rPr>
        <w:t xml:space="preserve"> </w:t>
      </w:r>
      <w:r w:rsidR="00D22508" w:rsidRPr="00BA1EC0">
        <w:rPr>
          <w:rFonts w:cstheme="minorHAnsi"/>
          <w:sz w:val="24"/>
          <w:szCs w:val="24"/>
        </w:rPr>
        <w:t>PERs are supposed to be done objectively in order to be f</w:t>
      </w:r>
      <w:r w:rsidR="00BA1EC0">
        <w:rPr>
          <w:rFonts w:cstheme="minorHAnsi"/>
          <w:sz w:val="24"/>
          <w:szCs w:val="24"/>
        </w:rPr>
        <w:t>ree of any biases or prejudice.</w:t>
      </w:r>
    </w:p>
    <w:p w:rsidR="00BA1EC0" w:rsidRPr="00BA1EC0" w:rsidRDefault="00BA1EC0" w:rsidP="00176D7B">
      <w:pPr>
        <w:pStyle w:val="ListParagraph"/>
        <w:spacing w:line="240" w:lineRule="auto"/>
        <w:rPr>
          <w:rFonts w:cstheme="minorHAnsi"/>
          <w:sz w:val="24"/>
          <w:szCs w:val="24"/>
        </w:rPr>
      </w:pPr>
    </w:p>
    <w:p w:rsidR="00BA1EC0" w:rsidRPr="00BA1EC0" w:rsidRDefault="00BA1EC0" w:rsidP="00C94ECF">
      <w:pPr>
        <w:pStyle w:val="ListParagraph"/>
        <w:numPr>
          <w:ilvl w:val="0"/>
          <w:numId w:val="2"/>
        </w:numPr>
        <w:ind w:hanging="720"/>
        <w:rPr>
          <w:rFonts w:cstheme="minorHAnsi"/>
          <w:i/>
          <w:sz w:val="24"/>
          <w:szCs w:val="24"/>
        </w:rPr>
      </w:pPr>
      <w:r w:rsidRPr="00BA1EC0">
        <w:rPr>
          <w:rFonts w:cstheme="minorHAnsi"/>
          <w:sz w:val="24"/>
          <w:szCs w:val="24"/>
        </w:rPr>
        <w:t xml:space="preserve">In his actions as described above Nie has demonstrated his prejudice towards the </w:t>
      </w:r>
      <w:r w:rsidR="00902709">
        <w:rPr>
          <w:rFonts w:cstheme="minorHAnsi"/>
          <w:sz w:val="24"/>
          <w:szCs w:val="24"/>
        </w:rPr>
        <w:t>Applicant</w:t>
      </w:r>
      <w:r w:rsidRPr="00BA1EC0">
        <w:rPr>
          <w:rFonts w:cstheme="minorHAnsi"/>
          <w:sz w:val="24"/>
          <w:szCs w:val="24"/>
        </w:rPr>
        <w:t>.</w:t>
      </w:r>
      <w:r>
        <w:rPr>
          <w:rStyle w:val="FootnoteReference"/>
          <w:rFonts w:cstheme="minorHAnsi"/>
          <w:sz w:val="24"/>
          <w:szCs w:val="24"/>
        </w:rPr>
        <w:footnoteReference w:id="92"/>
      </w:r>
    </w:p>
    <w:p w:rsidR="007769AB" w:rsidRPr="007769AB" w:rsidRDefault="007769AB" w:rsidP="00176D7B">
      <w:pPr>
        <w:pStyle w:val="ListParagraph"/>
        <w:spacing w:line="240" w:lineRule="auto"/>
        <w:rPr>
          <w:rFonts w:cstheme="minorHAnsi"/>
          <w:sz w:val="24"/>
          <w:szCs w:val="24"/>
          <w:lang w:val="en-CA"/>
        </w:rPr>
      </w:pPr>
    </w:p>
    <w:p w:rsidR="005C0C4F" w:rsidRPr="005C0C4F" w:rsidRDefault="005C0C4F" w:rsidP="00DF1815">
      <w:pPr>
        <w:pStyle w:val="ListParagraph"/>
        <w:numPr>
          <w:ilvl w:val="0"/>
          <w:numId w:val="2"/>
        </w:numPr>
        <w:ind w:hanging="720"/>
        <w:rPr>
          <w:rFonts w:cstheme="minorHAnsi"/>
          <w:sz w:val="24"/>
          <w:szCs w:val="24"/>
        </w:rPr>
      </w:pPr>
      <w:r w:rsidRPr="005C0C4F">
        <w:rPr>
          <w:rFonts w:cstheme="minorHAnsi"/>
          <w:sz w:val="24"/>
          <w:szCs w:val="24"/>
        </w:rPr>
        <w:t xml:space="preserve">So on one hand we have </w:t>
      </w:r>
      <w:proofErr w:type="spellStart"/>
      <w:r w:rsidRPr="005C0C4F">
        <w:rPr>
          <w:rFonts w:cstheme="minorHAnsi"/>
          <w:sz w:val="24"/>
          <w:szCs w:val="24"/>
        </w:rPr>
        <w:t>Nie’s</w:t>
      </w:r>
      <w:proofErr w:type="spellEnd"/>
      <w:r w:rsidRPr="005C0C4F">
        <w:rPr>
          <w:rFonts w:cstheme="minorHAnsi"/>
          <w:sz w:val="24"/>
          <w:szCs w:val="24"/>
        </w:rPr>
        <w:t xml:space="preserve"> </w:t>
      </w:r>
      <w:r w:rsidR="00DF1815">
        <w:rPr>
          <w:rFonts w:cstheme="minorHAnsi"/>
          <w:sz w:val="24"/>
          <w:szCs w:val="24"/>
        </w:rPr>
        <w:t xml:space="preserve">prejudicial, biased </w:t>
      </w:r>
      <w:r>
        <w:rPr>
          <w:rFonts w:cstheme="minorHAnsi"/>
          <w:sz w:val="24"/>
          <w:szCs w:val="24"/>
        </w:rPr>
        <w:t xml:space="preserve">and </w:t>
      </w:r>
      <w:r w:rsidRPr="005C0C4F">
        <w:rPr>
          <w:rFonts w:cstheme="minorHAnsi"/>
          <w:sz w:val="24"/>
          <w:szCs w:val="24"/>
        </w:rPr>
        <w:t>subjective opinion that Jack lacks common sense</w:t>
      </w:r>
      <w:r>
        <w:rPr>
          <w:rFonts w:cstheme="minorHAnsi"/>
          <w:sz w:val="24"/>
          <w:szCs w:val="24"/>
        </w:rPr>
        <w:t xml:space="preserve">, </w:t>
      </w:r>
      <w:r w:rsidR="00DF1815">
        <w:rPr>
          <w:rFonts w:cstheme="minorHAnsi"/>
          <w:sz w:val="24"/>
          <w:szCs w:val="24"/>
        </w:rPr>
        <w:t>yet</w:t>
      </w:r>
      <w:r>
        <w:rPr>
          <w:rFonts w:cstheme="minorHAnsi"/>
          <w:sz w:val="24"/>
          <w:szCs w:val="24"/>
        </w:rPr>
        <w:t xml:space="preserve"> on another hand we </w:t>
      </w:r>
      <w:r w:rsidRPr="005C0C4F">
        <w:rPr>
          <w:rFonts w:cstheme="minorHAnsi"/>
          <w:sz w:val="24"/>
          <w:szCs w:val="24"/>
        </w:rPr>
        <w:t>have an objective professional opinion of the OPP psychologist</w:t>
      </w:r>
      <w:r w:rsidR="00150870">
        <w:rPr>
          <w:rFonts w:cstheme="minorHAnsi"/>
          <w:sz w:val="24"/>
          <w:szCs w:val="24"/>
        </w:rPr>
        <w:t>,</w:t>
      </w:r>
      <w:r w:rsidRPr="005C0C4F">
        <w:rPr>
          <w:rFonts w:cstheme="minorHAnsi"/>
          <w:sz w:val="24"/>
          <w:szCs w:val="24"/>
        </w:rPr>
        <w:t xml:space="preserve"> Dr. </w:t>
      </w:r>
      <w:proofErr w:type="spellStart"/>
      <w:r w:rsidRPr="005C0C4F">
        <w:rPr>
          <w:rFonts w:cstheme="minorHAnsi"/>
          <w:sz w:val="24"/>
          <w:szCs w:val="24"/>
        </w:rPr>
        <w:t>LaPalme</w:t>
      </w:r>
      <w:proofErr w:type="spellEnd"/>
      <w:r w:rsidRPr="005C0C4F">
        <w:rPr>
          <w:rFonts w:cstheme="minorHAnsi"/>
          <w:sz w:val="24"/>
          <w:szCs w:val="24"/>
        </w:rPr>
        <w:t xml:space="preserve"> who reviewed Jack’s file and interviewed him in person</w:t>
      </w:r>
      <w:r w:rsidR="00150870">
        <w:rPr>
          <w:rFonts w:cstheme="minorHAnsi"/>
          <w:sz w:val="24"/>
          <w:szCs w:val="24"/>
        </w:rPr>
        <w:t>,</w:t>
      </w:r>
      <w:r w:rsidRPr="005C0C4F">
        <w:rPr>
          <w:rFonts w:cstheme="minorHAnsi"/>
          <w:sz w:val="24"/>
          <w:szCs w:val="24"/>
        </w:rPr>
        <w:t xml:space="preserve"> that concluded in the following determination:</w:t>
      </w:r>
    </w:p>
    <w:p w:rsidR="005C0C4F" w:rsidRDefault="005C0C4F" w:rsidP="00C94ECF">
      <w:pPr>
        <w:spacing w:after="0"/>
        <w:ind w:left="1440"/>
        <w:contextualSpacing/>
        <w:rPr>
          <w:rFonts w:cstheme="minorHAnsi"/>
          <w:i/>
          <w:sz w:val="24"/>
          <w:szCs w:val="24"/>
        </w:rPr>
      </w:pPr>
      <w:r w:rsidRPr="005C0C4F">
        <w:rPr>
          <w:rFonts w:cstheme="minorHAnsi"/>
          <w:i/>
          <w:sz w:val="24"/>
          <w:szCs w:val="24"/>
        </w:rPr>
        <w:t xml:space="preserve">‘We consulted with HR and Dr. </w:t>
      </w:r>
      <w:proofErr w:type="spellStart"/>
      <w:r w:rsidRPr="005C0C4F">
        <w:rPr>
          <w:rFonts w:cstheme="minorHAnsi"/>
          <w:i/>
          <w:sz w:val="24"/>
          <w:szCs w:val="24"/>
        </w:rPr>
        <w:t>LaPalme</w:t>
      </w:r>
      <w:proofErr w:type="spellEnd"/>
      <w:r w:rsidRPr="005C0C4F">
        <w:rPr>
          <w:rFonts w:cstheme="minorHAnsi"/>
          <w:i/>
          <w:sz w:val="24"/>
          <w:szCs w:val="24"/>
        </w:rPr>
        <w:t xml:space="preserve"> and after all observations have been reviewed it is the opinion of the force psychologist that </w:t>
      </w:r>
      <w:proofErr w:type="gramStart"/>
      <w:r w:rsidRPr="005C0C4F">
        <w:rPr>
          <w:rFonts w:cstheme="minorHAnsi"/>
          <w:i/>
          <w:sz w:val="24"/>
          <w:szCs w:val="24"/>
        </w:rPr>
        <w:t>recruit</w:t>
      </w:r>
      <w:proofErr w:type="gramEnd"/>
      <w:r w:rsidRPr="005C0C4F">
        <w:rPr>
          <w:rFonts w:cstheme="minorHAnsi"/>
          <w:i/>
          <w:sz w:val="24"/>
          <w:szCs w:val="24"/>
        </w:rPr>
        <w:t xml:space="preserve"> Jack is a very capable, highly intelligent recruit who will be an asset to the organization. …’</w:t>
      </w:r>
      <w:r w:rsidRPr="005C0C4F">
        <w:rPr>
          <w:rStyle w:val="FootnoteReference"/>
          <w:rFonts w:cstheme="minorHAnsi"/>
          <w:i/>
          <w:sz w:val="24"/>
          <w:szCs w:val="24"/>
        </w:rPr>
        <w:footnoteReference w:id="93"/>
      </w:r>
    </w:p>
    <w:p w:rsidR="008510A8" w:rsidRDefault="008510A8" w:rsidP="00C94ECF">
      <w:pPr>
        <w:spacing w:after="0"/>
        <w:ind w:left="1440"/>
        <w:contextualSpacing/>
        <w:rPr>
          <w:rFonts w:cstheme="minorHAnsi"/>
          <w:sz w:val="24"/>
          <w:szCs w:val="24"/>
        </w:rPr>
      </w:pPr>
    </w:p>
    <w:p w:rsidR="00A56F68" w:rsidRDefault="00AB7AE2" w:rsidP="00C94ECF">
      <w:pPr>
        <w:pStyle w:val="ListParagraph"/>
        <w:numPr>
          <w:ilvl w:val="0"/>
          <w:numId w:val="2"/>
        </w:numPr>
        <w:ind w:hanging="720"/>
        <w:rPr>
          <w:rFonts w:cstheme="minorHAnsi"/>
          <w:sz w:val="24"/>
          <w:szCs w:val="24"/>
          <w:lang w:val="en-CA"/>
        </w:rPr>
      </w:pPr>
      <w:r>
        <w:rPr>
          <w:rFonts w:cstheme="minorHAnsi"/>
          <w:sz w:val="24"/>
          <w:szCs w:val="24"/>
          <w:lang w:val="en-CA"/>
        </w:rPr>
        <w:t xml:space="preserve">With respect to item 99, not </w:t>
      </w:r>
      <w:r w:rsidR="00DF226C" w:rsidRPr="00D22508">
        <w:rPr>
          <w:rFonts w:cstheme="minorHAnsi"/>
          <w:sz w:val="24"/>
          <w:szCs w:val="24"/>
          <w:lang w:val="en-CA"/>
        </w:rPr>
        <w:t xml:space="preserve">all the good is on the evaluation. Had it been true, the evaluations would not have contained the “Does Not Meet Requirements” ratings, but they did contain many. Second, putting all the bad </w:t>
      </w:r>
      <w:r w:rsidR="00830C64">
        <w:rPr>
          <w:rFonts w:cstheme="minorHAnsi"/>
          <w:sz w:val="24"/>
          <w:szCs w:val="24"/>
          <w:lang w:val="en-CA"/>
        </w:rPr>
        <w:t xml:space="preserve">on the chronology was a </w:t>
      </w:r>
      <w:r w:rsidR="00DF226C" w:rsidRPr="00D22508">
        <w:rPr>
          <w:rFonts w:cstheme="minorHAnsi"/>
          <w:sz w:val="24"/>
          <w:szCs w:val="24"/>
          <w:lang w:val="en-CA"/>
        </w:rPr>
        <w:t xml:space="preserve">treacherous thing to do. The </w:t>
      </w:r>
      <w:r>
        <w:rPr>
          <w:rFonts w:cstheme="minorHAnsi"/>
          <w:sz w:val="24"/>
          <w:szCs w:val="24"/>
          <w:lang w:val="en-CA"/>
        </w:rPr>
        <w:t>PFC</w:t>
      </w:r>
      <w:r w:rsidR="00DF226C" w:rsidRPr="00D22508">
        <w:rPr>
          <w:rFonts w:cstheme="minorHAnsi"/>
          <w:sz w:val="24"/>
          <w:szCs w:val="24"/>
          <w:lang w:val="en-CA"/>
        </w:rPr>
        <w:t xml:space="preserve"> was prepared solely for the management behind the </w:t>
      </w:r>
      <w:r w:rsidR="00902709">
        <w:rPr>
          <w:rFonts w:cstheme="minorHAnsi"/>
          <w:sz w:val="24"/>
          <w:szCs w:val="24"/>
          <w:lang w:val="en-CA"/>
        </w:rPr>
        <w:t>Applicant</w:t>
      </w:r>
      <w:r>
        <w:rPr>
          <w:rFonts w:cstheme="minorHAnsi"/>
          <w:sz w:val="24"/>
          <w:szCs w:val="24"/>
          <w:lang w:val="en-CA"/>
        </w:rPr>
        <w:t>’s back.</w:t>
      </w:r>
      <w:r w:rsidR="00A56497">
        <w:rPr>
          <w:rStyle w:val="FootnoteReference"/>
          <w:rFonts w:cstheme="minorHAnsi"/>
          <w:sz w:val="24"/>
          <w:szCs w:val="24"/>
          <w:lang w:val="en-CA"/>
        </w:rPr>
        <w:footnoteReference w:id="94"/>
      </w:r>
      <w:r>
        <w:rPr>
          <w:rFonts w:cstheme="minorHAnsi"/>
          <w:sz w:val="24"/>
          <w:szCs w:val="24"/>
          <w:lang w:val="en-CA"/>
        </w:rPr>
        <w:t xml:space="preserve"> Hence, the</w:t>
      </w:r>
      <w:r w:rsidR="00DF226C" w:rsidRPr="00D22508">
        <w:rPr>
          <w:rFonts w:cstheme="minorHAnsi"/>
          <w:sz w:val="24"/>
          <w:szCs w:val="24"/>
          <w:lang w:val="en-CA"/>
        </w:rPr>
        <w:t xml:space="preserve"> </w:t>
      </w:r>
      <w:r w:rsidR="00902709">
        <w:rPr>
          <w:rFonts w:cstheme="minorHAnsi"/>
          <w:sz w:val="24"/>
          <w:szCs w:val="24"/>
          <w:lang w:val="en-CA"/>
        </w:rPr>
        <w:t>Applicant</w:t>
      </w:r>
      <w:r w:rsidR="00DF226C" w:rsidRPr="00D22508">
        <w:rPr>
          <w:rFonts w:cstheme="minorHAnsi"/>
          <w:sz w:val="24"/>
          <w:szCs w:val="24"/>
          <w:lang w:val="en-CA"/>
        </w:rPr>
        <w:t xml:space="preserve"> did not even have </w:t>
      </w:r>
      <w:r w:rsidR="001B7C09">
        <w:rPr>
          <w:rFonts w:cstheme="minorHAnsi"/>
          <w:sz w:val="24"/>
          <w:szCs w:val="24"/>
          <w:lang w:val="en-CA"/>
        </w:rPr>
        <w:t>the</w:t>
      </w:r>
      <w:r w:rsidR="00DF226C" w:rsidRPr="00D22508">
        <w:rPr>
          <w:rFonts w:cstheme="minorHAnsi"/>
          <w:sz w:val="24"/>
          <w:szCs w:val="24"/>
          <w:lang w:val="en-CA"/>
        </w:rPr>
        <w:t xml:space="preserve"> slightest opportunity to provide his explanation of things written about him. That is nothing short of libel and defamation.</w:t>
      </w:r>
    </w:p>
    <w:p w:rsidR="003442EB" w:rsidRDefault="003442EB" w:rsidP="00C94ECF">
      <w:pPr>
        <w:pStyle w:val="ListParagraph"/>
        <w:rPr>
          <w:rFonts w:cstheme="minorHAnsi"/>
          <w:sz w:val="24"/>
          <w:szCs w:val="24"/>
          <w:lang w:val="en-CA"/>
        </w:rPr>
      </w:pPr>
    </w:p>
    <w:p w:rsidR="00515A7C" w:rsidRDefault="00735AEF" w:rsidP="00DF1815">
      <w:pPr>
        <w:pStyle w:val="ListParagraph"/>
        <w:numPr>
          <w:ilvl w:val="0"/>
          <w:numId w:val="2"/>
        </w:numPr>
        <w:ind w:hanging="720"/>
        <w:rPr>
          <w:rFonts w:cstheme="minorHAnsi"/>
          <w:sz w:val="24"/>
          <w:szCs w:val="24"/>
          <w:lang w:val="en-CA"/>
        </w:rPr>
      </w:pPr>
      <w:r>
        <w:rPr>
          <w:rFonts w:cstheme="minorHAnsi"/>
          <w:sz w:val="24"/>
          <w:szCs w:val="24"/>
          <w:lang w:val="en-CA"/>
        </w:rPr>
        <w:t>Third, i</w:t>
      </w:r>
      <w:r w:rsidR="0002123E">
        <w:rPr>
          <w:rFonts w:cstheme="minorHAnsi"/>
          <w:sz w:val="24"/>
          <w:szCs w:val="24"/>
          <w:lang w:val="en-CA"/>
        </w:rPr>
        <w:t xml:space="preserve">t is a fact that Jack was given a commending email from </w:t>
      </w:r>
      <w:r w:rsidR="00A021A5">
        <w:rPr>
          <w:rFonts w:cstheme="minorHAnsi"/>
          <w:sz w:val="24"/>
          <w:szCs w:val="24"/>
          <w:lang w:val="en-CA"/>
        </w:rPr>
        <w:t xml:space="preserve">Drug Unit </w:t>
      </w:r>
      <w:r w:rsidR="0002123E">
        <w:rPr>
          <w:rFonts w:cstheme="minorHAnsi"/>
          <w:sz w:val="24"/>
          <w:szCs w:val="24"/>
          <w:lang w:val="en-CA"/>
        </w:rPr>
        <w:t xml:space="preserve">officer Ernie Garbutt regarding </w:t>
      </w:r>
      <w:r w:rsidR="00A021A5">
        <w:rPr>
          <w:rFonts w:cstheme="minorHAnsi"/>
          <w:sz w:val="24"/>
          <w:szCs w:val="24"/>
          <w:lang w:val="en-CA"/>
        </w:rPr>
        <w:t>a</w:t>
      </w:r>
      <w:r w:rsidR="0002123E">
        <w:rPr>
          <w:rFonts w:cstheme="minorHAnsi"/>
          <w:sz w:val="24"/>
          <w:szCs w:val="24"/>
          <w:lang w:val="en-CA"/>
        </w:rPr>
        <w:t xml:space="preserve"> large drug seizure.</w:t>
      </w:r>
      <w:r w:rsidR="00EC1E12">
        <w:rPr>
          <w:rStyle w:val="FootnoteReference"/>
          <w:rFonts w:cstheme="minorHAnsi"/>
          <w:sz w:val="24"/>
          <w:szCs w:val="24"/>
          <w:lang w:val="en-CA"/>
        </w:rPr>
        <w:footnoteReference w:id="95"/>
      </w:r>
      <w:r w:rsidR="0002123E">
        <w:rPr>
          <w:rFonts w:cstheme="minorHAnsi"/>
          <w:sz w:val="24"/>
          <w:szCs w:val="24"/>
          <w:lang w:val="en-CA"/>
        </w:rPr>
        <w:t xml:space="preserve"> This is something that Butorac testified would have been good to see on </w:t>
      </w:r>
      <w:r w:rsidR="00A021A5">
        <w:rPr>
          <w:rFonts w:cstheme="minorHAnsi"/>
          <w:sz w:val="24"/>
          <w:szCs w:val="24"/>
          <w:lang w:val="en-CA"/>
        </w:rPr>
        <w:t>Jack’s</w:t>
      </w:r>
      <w:r w:rsidR="0002123E">
        <w:rPr>
          <w:rFonts w:cstheme="minorHAnsi"/>
          <w:sz w:val="24"/>
          <w:szCs w:val="24"/>
          <w:lang w:val="en-CA"/>
        </w:rPr>
        <w:t xml:space="preserve"> </w:t>
      </w:r>
      <w:r w:rsidR="00A021A5">
        <w:rPr>
          <w:rFonts w:cstheme="minorHAnsi"/>
          <w:sz w:val="24"/>
          <w:szCs w:val="24"/>
          <w:lang w:val="en-CA"/>
        </w:rPr>
        <w:t>PER</w:t>
      </w:r>
      <w:r w:rsidR="0002123E">
        <w:rPr>
          <w:rFonts w:cstheme="minorHAnsi"/>
          <w:sz w:val="24"/>
          <w:szCs w:val="24"/>
          <w:lang w:val="en-CA"/>
        </w:rPr>
        <w:t xml:space="preserve"> and worthy of a positive 233-10.</w:t>
      </w:r>
      <w:r w:rsidRPr="00735AEF">
        <w:rPr>
          <w:rStyle w:val="FootnoteReference"/>
          <w:rFonts w:cstheme="minorHAnsi"/>
          <w:sz w:val="24"/>
          <w:szCs w:val="24"/>
          <w:lang w:val="en-CA"/>
        </w:rPr>
        <w:t xml:space="preserve"> </w:t>
      </w:r>
      <w:r>
        <w:rPr>
          <w:rStyle w:val="FootnoteReference"/>
          <w:rFonts w:cstheme="minorHAnsi"/>
          <w:sz w:val="24"/>
          <w:szCs w:val="24"/>
          <w:lang w:val="en-CA"/>
        </w:rPr>
        <w:footnoteReference w:id="96"/>
      </w:r>
      <w:r>
        <w:rPr>
          <w:rFonts w:cstheme="minorHAnsi"/>
          <w:sz w:val="24"/>
          <w:szCs w:val="24"/>
          <w:lang w:val="en-CA"/>
        </w:rPr>
        <w:t xml:space="preserve"> </w:t>
      </w:r>
      <w:r w:rsidR="0002123E">
        <w:rPr>
          <w:rFonts w:cstheme="minorHAnsi"/>
          <w:sz w:val="24"/>
          <w:szCs w:val="24"/>
          <w:lang w:val="en-CA"/>
        </w:rPr>
        <w:t>But it was not something Nie was willing to reflect on Jack’s PER. This hearing clearly identified this email as being a noteworthy entry on the related PER yet it was not done.</w:t>
      </w:r>
      <w:r w:rsidR="00EC1E12">
        <w:rPr>
          <w:rStyle w:val="FootnoteReference"/>
          <w:rFonts w:cstheme="minorHAnsi"/>
          <w:sz w:val="24"/>
          <w:szCs w:val="24"/>
          <w:lang w:val="en-CA"/>
        </w:rPr>
        <w:footnoteReference w:id="97"/>
      </w:r>
      <w:r w:rsidR="0002123E">
        <w:rPr>
          <w:rFonts w:cstheme="minorHAnsi"/>
          <w:sz w:val="24"/>
          <w:szCs w:val="24"/>
          <w:lang w:val="en-CA"/>
        </w:rPr>
        <w:t xml:space="preserve"> </w:t>
      </w:r>
      <w:r w:rsidR="003442EB">
        <w:rPr>
          <w:rFonts w:cstheme="minorHAnsi"/>
          <w:sz w:val="24"/>
          <w:szCs w:val="24"/>
          <w:lang w:val="en-CA"/>
        </w:rPr>
        <w:t xml:space="preserve">It is </w:t>
      </w:r>
      <w:r w:rsidR="002C5AF1">
        <w:rPr>
          <w:rFonts w:cstheme="minorHAnsi"/>
          <w:sz w:val="24"/>
          <w:szCs w:val="24"/>
          <w:lang w:val="en-CA"/>
        </w:rPr>
        <w:t xml:space="preserve">a </w:t>
      </w:r>
      <w:r w:rsidR="003442EB">
        <w:rPr>
          <w:rFonts w:cstheme="minorHAnsi"/>
          <w:sz w:val="24"/>
          <w:szCs w:val="24"/>
          <w:lang w:val="en-CA"/>
        </w:rPr>
        <w:t xml:space="preserve">clear example of how all the good was </w:t>
      </w:r>
      <w:r w:rsidR="00DF1815">
        <w:rPr>
          <w:rFonts w:cstheme="minorHAnsi"/>
          <w:sz w:val="24"/>
          <w:szCs w:val="24"/>
          <w:lang w:val="en-CA"/>
        </w:rPr>
        <w:t>NOT</w:t>
      </w:r>
      <w:r w:rsidR="003442EB">
        <w:rPr>
          <w:rFonts w:cstheme="minorHAnsi"/>
          <w:sz w:val="24"/>
          <w:szCs w:val="24"/>
          <w:lang w:val="en-CA"/>
        </w:rPr>
        <w:t xml:space="preserve"> on the evaluations.</w:t>
      </w:r>
    </w:p>
    <w:p w:rsidR="00515A7C" w:rsidRPr="00515A7C" w:rsidRDefault="00515A7C" w:rsidP="00C94ECF">
      <w:pPr>
        <w:pStyle w:val="ListParagraph"/>
        <w:rPr>
          <w:rFonts w:cstheme="minorHAnsi"/>
          <w:sz w:val="24"/>
          <w:szCs w:val="24"/>
        </w:rPr>
      </w:pPr>
    </w:p>
    <w:p w:rsidR="000F7992" w:rsidRPr="00515A7C" w:rsidRDefault="00013D9F" w:rsidP="00C94ECF">
      <w:pPr>
        <w:pStyle w:val="ListParagraph"/>
        <w:numPr>
          <w:ilvl w:val="0"/>
          <w:numId w:val="2"/>
        </w:numPr>
        <w:ind w:hanging="720"/>
        <w:rPr>
          <w:rFonts w:cstheme="minorHAnsi"/>
          <w:sz w:val="24"/>
          <w:szCs w:val="24"/>
          <w:lang w:val="en-CA"/>
        </w:rPr>
      </w:pPr>
      <w:r w:rsidRPr="00515A7C">
        <w:rPr>
          <w:rFonts w:cstheme="minorHAnsi"/>
          <w:sz w:val="24"/>
          <w:szCs w:val="24"/>
        </w:rPr>
        <w:t>With respect to item 101, w</w:t>
      </w:r>
      <w:r w:rsidR="000F7992" w:rsidRPr="00515A7C">
        <w:rPr>
          <w:rFonts w:cstheme="minorHAnsi"/>
          <w:sz w:val="24"/>
          <w:szCs w:val="24"/>
        </w:rPr>
        <w:t xml:space="preserve">here exactly is the testimony of Constable Filman stating that he prepared the PERs at the time of the events? How can this be true if we explored during the course of the hearing that many entries in PERs prepared by Constable Filman were copy-pastes from previous PERs, </w:t>
      </w:r>
      <w:r w:rsidR="002E13BF" w:rsidRPr="00515A7C">
        <w:rPr>
          <w:rFonts w:cstheme="minorHAnsi"/>
          <w:sz w:val="24"/>
          <w:szCs w:val="24"/>
        </w:rPr>
        <w:t>that Constable Filman’s PERs were chronically overdue</w:t>
      </w:r>
      <w:r w:rsidR="003442EB">
        <w:rPr>
          <w:rStyle w:val="FootnoteReference"/>
          <w:rFonts w:cstheme="minorHAnsi"/>
          <w:sz w:val="24"/>
          <w:szCs w:val="24"/>
        </w:rPr>
        <w:footnoteReference w:id="98"/>
      </w:r>
      <w:r w:rsidR="007D6374" w:rsidRPr="00515A7C">
        <w:rPr>
          <w:rFonts w:cstheme="minorHAnsi"/>
          <w:sz w:val="24"/>
          <w:szCs w:val="24"/>
        </w:rPr>
        <w:t xml:space="preserve"> and that </w:t>
      </w:r>
      <w:r w:rsidR="007D6374" w:rsidRPr="00515A7C">
        <w:rPr>
          <w:rFonts w:cstheme="minorHAnsi"/>
          <w:sz w:val="24"/>
          <w:szCs w:val="24"/>
        </w:rPr>
        <w:lastRenderedPageBreak/>
        <w:t>at least one entry was backfilled in PER5 even though it was from PER 6&amp;7 time period</w:t>
      </w:r>
      <w:r w:rsidR="003442EB">
        <w:rPr>
          <w:rStyle w:val="FootnoteReference"/>
          <w:rFonts w:cstheme="minorHAnsi"/>
          <w:sz w:val="24"/>
          <w:szCs w:val="24"/>
        </w:rPr>
        <w:footnoteReference w:id="99"/>
      </w:r>
      <w:r w:rsidR="007D6374" w:rsidRPr="00515A7C">
        <w:rPr>
          <w:rFonts w:cstheme="minorHAnsi"/>
          <w:sz w:val="24"/>
          <w:szCs w:val="24"/>
        </w:rPr>
        <w:t xml:space="preserve">. Who is deciding whose testimony is trustworthy </w:t>
      </w:r>
      <w:r w:rsidR="003442EB" w:rsidRPr="00515A7C">
        <w:rPr>
          <w:rFonts w:cstheme="minorHAnsi"/>
          <w:sz w:val="24"/>
          <w:szCs w:val="24"/>
        </w:rPr>
        <w:t>or</w:t>
      </w:r>
      <w:r w:rsidR="007D6374" w:rsidRPr="00515A7C">
        <w:rPr>
          <w:rFonts w:cstheme="minorHAnsi"/>
          <w:sz w:val="24"/>
          <w:szCs w:val="24"/>
        </w:rPr>
        <w:t xml:space="preserve"> credible and whose is not? </w:t>
      </w:r>
      <w:r w:rsidRPr="00515A7C">
        <w:rPr>
          <w:rFonts w:cstheme="minorHAnsi"/>
          <w:sz w:val="24"/>
          <w:szCs w:val="24"/>
        </w:rPr>
        <w:t xml:space="preserve">Who is determining what is consistent and what is inconsistent? </w:t>
      </w:r>
      <w:r w:rsidR="007D6374" w:rsidRPr="00515A7C">
        <w:rPr>
          <w:rFonts w:cstheme="minorHAnsi"/>
          <w:sz w:val="24"/>
          <w:szCs w:val="24"/>
        </w:rPr>
        <w:t xml:space="preserve">Is it </w:t>
      </w:r>
      <w:r w:rsidR="00CB0151" w:rsidRPr="00515A7C">
        <w:rPr>
          <w:rFonts w:cstheme="minorHAnsi"/>
          <w:sz w:val="24"/>
          <w:szCs w:val="24"/>
        </w:rPr>
        <w:t>Counsel</w:t>
      </w:r>
      <w:r w:rsidR="007D6374" w:rsidRPr="00515A7C">
        <w:rPr>
          <w:rFonts w:cstheme="minorHAnsi"/>
          <w:sz w:val="24"/>
          <w:szCs w:val="24"/>
        </w:rPr>
        <w:t xml:space="preserve"> for the </w:t>
      </w:r>
      <w:r w:rsidR="005F2228" w:rsidRPr="00515A7C">
        <w:rPr>
          <w:rFonts w:cstheme="minorHAnsi"/>
          <w:sz w:val="24"/>
          <w:szCs w:val="24"/>
        </w:rPr>
        <w:t>Respondent</w:t>
      </w:r>
      <w:r w:rsidR="00DF1815">
        <w:rPr>
          <w:rFonts w:cstheme="minorHAnsi"/>
          <w:sz w:val="24"/>
          <w:szCs w:val="24"/>
        </w:rPr>
        <w:t xml:space="preserve"> or is it Mr.</w:t>
      </w:r>
      <w:r w:rsidR="007D6374" w:rsidRPr="00515A7C">
        <w:rPr>
          <w:rFonts w:cstheme="minorHAnsi"/>
          <w:sz w:val="24"/>
          <w:szCs w:val="24"/>
        </w:rPr>
        <w:t xml:space="preserve"> Vice Chair of the</w:t>
      </w:r>
      <w:r w:rsidRPr="00515A7C">
        <w:rPr>
          <w:rFonts w:cstheme="minorHAnsi"/>
          <w:sz w:val="24"/>
          <w:szCs w:val="24"/>
        </w:rPr>
        <w:t xml:space="preserve"> HRTO?</w:t>
      </w:r>
    </w:p>
    <w:p w:rsidR="00902801" w:rsidRDefault="00902801" w:rsidP="00C94ECF">
      <w:pPr>
        <w:pStyle w:val="ListParagraph"/>
        <w:rPr>
          <w:rFonts w:cstheme="minorHAnsi"/>
          <w:sz w:val="24"/>
          <w:szCs w:val="24"/>
        </w:rPr>
      </w:pPr>
    </w:p>
    <w:p w:rsidR="00902801" w:rsidRDefault="00013D9F" w:rsidP="00C94ECF">
      <w:pPr>
        <w:pStyle w:val="ListParagraph"/>
        <w:numPr>
          <w:ilvl w:val="0"/>
          <w:numId w:val="2"/>
        </w:numPr>
        <w:ind w:hanging="720"/>
        <w:rPr>
          <w:rFonts w:cstheme="minorHAnsi"/>
          <w:sz w:val="24"/>
          <w:szCs w:val="24"/>
        </w:rPr>
      </w:pPr>
      <w:r>
        <w:rPr>
          <w:rFonts w:cstheme="minorHAnsi"/>
          <w:sz w:val="24"/>
          <w:szCs w:val="24"/>
        </w:rPr>
        <w:t xml:space="preserve">Flindall’s </w:t>
      </w:r>
      <w:r w:rsidR="003442EB">
        <w:rPr>
          <w:rFonts w:cstheme="minorHAnsi"/>
          <w:sz w:val="24"/>
          <w:szCs w:val="24"/>
        </w:rPr>
        <w:t xml:space="preserve">explanation of why he </w:t>
      </w:r>
      <w:r>
        <w:rPr>
          <w:rFonts w:cstheme="minorHAnsi"/>
          <w:sz w:val="24"/>
          <w:szCs w:val="24"/>
        </w:rPr>
        <w:t xml:space="preserve">did not have </w:t>
      </w:r>
      <w:r w:rsidR="003442EB">
        <w:rPr>
          <w:rFonts w:cstheme="minorHAnsi"/>
          <w:sz w:val="24"/>
          <w:szCs w:val="24"/>
        </w:rPr>
        <w:t xml:space="preserve">notes on PER meetings with the </w:t>
      </w:r>
      <w:r w:rsidR="00902709">
        <w:rPr>
          <w:rFonts w:cstheme="minorHAnsi"/>
          <w:sz w:val="24"/>
          <w:szCs w:val="24"/>
        </w:rPr>
        <w:t>Applicant</w:t>
      </w:r>
      <w:r w:rsidR="003442EB">
        <w:rPr>
          <w:rFonts w:cstheme="minorHAnsi"/>
          <w:sz w:val="24"/>
          <w:szCs w:val="24"/>
        </w:rPr>
        <w:t xml:space="preserve"> is ludicrous. PER meetings </w:t>
      </w:r>
      <w:r>
        <w:rPr>
          <w:rFonts w:cstheme="minorHAnsi"/>
          <w:sz w:val="24"/>
          <w:szCs w:val="24"/>
        </w:rPr>
        <w:t>are</w:t>
      </w:r>
      <w:r w:rsidR="003442EB">
        <w:rPr>
          <w:rFonts w:cstheme="minorHAnsi"/>
          <w:sz w:val="24"/>
          <w:szCs w:val="24"/>
        </w:rPr>
        <w:t xml:space="preserve"> mandated by OPP Orders. As a shift supervisor </w:t>
      </w:r>
      <w:r>
        <w:rPr>
          <w:rFonts w:cstheme="minorHAnsi"/>
          <w:sz w:val="24"/>
          <w:szCs w:val="24"/>
        </w:rPr>
        <w:t xml:space="preserve">Flindall is </w:t>
      </w:r>
      <w:r w:rsidR="003442EB">
        <w:rPr>
          <w:rFonts w:cstheme="minorHAnsi"/>
          <w:sz w:val="24"/>
          <w:szCs w:val="24"/>
        </w:rPr>
        <w:t xml:space="preserve">duty bound to carry out all OPP Orders and not callously disregard them. Nowhere does one see </w:t>
      </w:r>
      <w:r w:rsidR="00F527A3">
        <w:rPr>
          <w:rFonts w:cstheme="minorHAnsi"/>
          <w:sz w:val="24"/>
          <w:szCs w:val="24"/>
        </w:rPr>
        <w:t>discretion being given to a supervisor to carry out these duties</w:t>
      </w:r>
      <w:r w:rsidR="00B65844">
        <w:rPr>
          <w:rFonts w:cstheme="minorHAnsi"/>
          <w:sz w:val="24"/>
          <w:szCs w:val="24"/>
        </w:rPr>
        <w:t xml:space="preserve">. Nowhere does one see </w:t>
      </w:r>
      <w:r w:rsidR="001B7C09">
        <w:rPr>
          <w:rFonts w:cstheme="minorHAnsi"/>
          <w:sz w:val="24"/>
          <w:szCs w:val="24"/>
        </w:rPr>
        <w:t>‘</w:t>
      </w:r>
      <w:r w:rsidR="00F527A3">
        <w:rPr>
          <w:rFonts w:cstheme="minorHAnsi"/>
          <w:sz w:val="24"/>
          <w:szCs w:val="24"/>
        </w:rPr>
        <w:t>except when foreseeing a possible litigation</w:t>
      </w:r>
      <w:r w:rsidR="001B7C09">
        <w:rPr>
          <w:rFonts w:cstheme="minorHAnsi"/>
          <w:sz w:val="24"/>
          <w:szCs w:val="24"/>
        </w:rPr>
        <w:t>’</w:t>
      </w:r>
      <w:r w:rsidR="00F527A3">
        <w:rPr>
          <w:rFonts w:cstheme="minorHAnsi"/>
          <w:sz w:val="24"/>
          <w:szCs w:val="24"/>
        </w:rPr>
        <w:t xml:space="preserve"> resulting from an action whe</w:t>
      </w:r>
      <w:r>
        <w:rPr>
          <w:rFonts w:cstheme="minorHAnsi"/>
          <w:sz w:val="24"/>
          <w:szCs w:val="24"/>
        </w:rPr>
        <w:t>ther that be civil or via this T</w:t>
      </w:r>
      <w:r w:rsidR="00F527A3">
        <w:rPr>
          <w:rFonts w:cstheme="minorHAnsi"/>
          <w:sz w:val="24"/>
          <w:szCs w:val="24"/>
        </w:rPr>
        <w:t xml:space="preserve">ribunal. Rather one sees that OPP Orders state that </w:t>
      </w:r>
      <w:r w:rsidR="00B65844">
        <w:rPr>
          <w:rFonts w:cstheme="minorHAnsi"/>
          <w:sz w:val="24"/>
          <w:szCs w:val="24"/>
        </w:rPr>
        <w:t xml:space="preserve">the </w:t>
      </w:r>
      <w:r w:rsidR="00F527A3">
        <w:rPr>
          <w:rFonts w:cstheme="minorHAnsi"/>
          <w:sz w:val="24"/>
          <w:szCs w:val="24"/>
        </w:rPr>
        <w:t xml:space="preserve">immediate supervisor </w:t>
      </w:r>
      <w:r w:rsidR="00F527A3" w:rsidRPr="001B7C09">
        <w:rPr>
          <w:rFonts w:cstheme="minorHAnsi"/>
          <w:b/>
          <w:sz w:val="24"/>
          <w:szCs w:val="24"/>
        </w:rPr>
        <w:t>shall</w:t>
      </w:r>
      <w:r w:rsidR="00F527A3">
        <w:rPr>
          <w:rFonts w:cstheme="minorHAnsi"/>
          <w:sz w:val="24"/>
          <w:szCs w:val="24"/>
        </w:rPr>
        <w:t xml:space="preserve"> meet with the probationary officer to review each evaluation prior to its submission to the detachment commander.</w:t>
      </w:r>
      <w:r w:rsidR="00902801">
        <w:rPr>
          <w:rStyle w:val="FootnoteReference"/>
          <w:rFonts w:cstheme="minorHAnsi"/>
          <w:sz w:val="24"/>
          <w:szCs w:val="24"/>
        </w:rPr>
        <w:footnoteReference w:id="100"/>
      </w:r>
    </w:p>
    <w:p w:rsidR="00902801" w:rsidRPr="00902801" w:rsidRDefault="00902801" w:rsidP="00C94ECF">
      <w:pPr>
        <w:pStyle w:val="ListParagraph"/>
        <w:rPr>
          <w:rFonts w:cstheme="minorHAnsi"/>
          <w:sz w:val="24"/>
          <w:szCs w:val="24"/>
        </w:rPr>
      </w:pPr>
    </w:p>
    <w:p w:rsidR="0057603B" w:rsidRPr="009C74F1" w:rsidRDefault="00902801" w:rsidP="00C94ECF">
      <w:pPr>
        <w:pStyle w:val="ListParagraph"/>
        <w:numPr>
          <w:ilvl w:val="0"/>
          <w:numId w:val="2"/>
        </w:numPr>
        <w:ind w:hanging="720"/>
        <w:rPr>
          <w:rFonts w:cstheme="minorHAnsi"/>
          <w:sz w:val="24"/>
          <w:szCs w:val="24"/>
        </w:rPr>
      </w:pPr>
      <w:r w:rsidRPr="009C74F1">
        <w:rPr>
          <w:rFonts w:cstheme="minorHAnsi"/>
          <w:sz w:val="24"/>
          <w:szCs w:val="24"/>
        </w:rPr>
        <w:t xml:space="preserve">The Probationary Constables Evaluation Report Guidelines which is missing from tab 24 of the book of exhibits </w:t>
      </w:r>
      <w:r w:rsidR="002C5AF1" w:rsidRPr="009C74F1">
        <w:rPr>
          <w:rFonts w:cstheme="minorHAnsi"/>
          <w:sz w:val="24"/>
          <w:szCs w:val="24"/>
        </w:rPr>
        <w:t xml:space="preserve">prepared by Counsel </w:t>
      </w:r>
      <w:r w:rsidRPr="009C74F1">
        <w:rPr>
          <w:rFonts w:cstheme="minorHAnsi"/>
          <w:sz w:val="24"/>
          <w:szCs w:val="24"/>
        </w:rPr>
        <w:t>has this same directive</w:t>
      </w:r>
      <w:r w:rsidR="0067370B">
        <w:rPr>
          <w:rFonts w:cstheme="minorHAnsi"/>
          <w:sz w:val="24"/>
          <w:szCs w:val="24"/>
        </w:rPr>
        <w:t xml:space="preserve">. This document summarizes one of the key roles and responsibilities of the accountable supervisor: </w:t>
      </w:r>
      <w:r w:rsidR="003F64E9">
        <w:rPr>
          <w:rFonts w:cstheme="minorHAnsi"/>
          <w:sz w:val="24"/>
          <w:szCs w:val="24"/>
        </w:rPr>
        <w:t xml:space="preserve"> </w:t>
      </w:r>
      <w:r w:rsidR="0067370B">
        <w:rPr>
          <w:rFonts w:cstheme="minorHAnsi"/>
          <w:b/>
          <w:sz w:val="24"/>
          <w:szCs w:val="24"/>
        </w:rPr>
        <w:t>conducts regular meetings with the recruit.</w:t>
      </w:r>
      <w:r w:rsidRPr="009C74F1">
        <w:rPr>
          <w:rStyle w:val="FootnoteReference"/>
          <w:rFonts w:cstheme="minorHAnsi"/>
          <w:sz w:val="24"/>
          <w:szCs w:val="24"/>
        </w:rPr>
        <w:footnoteReference w:id="101"/>
      </w:r>
      <w:r w:rsidRPr="009C74F1">
        <w:rPr>
          <w:rFonts w:cstheme="minorHAnsi"/>
          <w:sz w:val="24"/>
          <w:szCs w:val="24"/>
        </w:rPr>
        <w:t xml:space="preserve"> It is appended to this reply under </w:t>
      </w:r>
      <w:r w:rsidR="00013D9F" w:rsidRPr="009C74F1">
        <w:rPr>
          <w:rFonts w:cstheme="minorHAnsi"/>
          <w:sz w:val="24"/>
          <w:szCs w:val="24"/>
        </w:rPr>
        <w:t>A</w:t>
      </w:r>
      <w:r w:rsidRPr="009C74F1">
        <w:rPr>
          <w:rFonts w:cstheme="minorHAnsi"/>
          <w:sz w:val="24"/>
          <w:szCs w:val="24"/>
        </w:rPr>
        <w:t>ppendix ‘A’.</w:t>
      </w:r>
      <w:r w:rsidR="0057603B" w:rsidRPr="009C74F1">
        <w:rPr>
          <w:rFonts w:cstheme="minorHAnsi"/>
          <w:sz w:val="24"/>
          <w:szCs w:val="24"/>
        </w:rPr>
        <w:t xml:space="preserve"> </w:t>
      </w:r>
    </w:p>
    <w:p w:rsidR="0057603B" w:rsidRPr="0057603B" w:rsidRDefault="0057603B" w:rsidP="00C94ECF">
      <w:pPr>
        <w:pStyle w:val="ListParagraph"/>
        <w:rPr>
          <w:rFonts w:cstheme="minorHAnsi"/>
          <w:sz w:val="24"/>
          <w:szCs w:val="24"/>
          <w:highlight w:val="yellow"/>
        </w:rPr>
      </w:pPr>
    </w:p>
    <w:p w:rsidR="006A18F7" w:rsidRDefault="0057603B" w:rsidP="00C94ECF">
      <w:pPr>
        <w:pStyle w:val="ListParagraph"/>
        <w:numPr>
          <w:ilvl w:val="0"/>
          <w:numId w:val="2"/>
        </w:numPr>
        <w:ind w:hanging="720"/>
        <w:rPr>
          <w:rFonts w:cstheme="minorHAnsi"/>
          <w:sz w:val="24"/>
          <w:szCs w:val="24"/>
        </w:rPr>
      </w:pPr>
      <w:r>
        <w:rPr>
          <w:rFonts w:cstheme="minorHAnsi"/>
          <w:sz w:val="24"/>
          <w:szCs w:val="24"/>
        </w:rPr>
        <w:t xml:space="preserve">Based on the comment by </w:t>
      </w:r>
      <w:r w:rsidR="00B30CA9">
        <w:rPr>
          <w:rFonts w:cstheme="minorHAnsi"/>
          <w:sz w:val="24"/>
          <w:szCs w:val="24"/>
        </w:rPr>
        <w:t>Counsel</w:t>
      </w:r>
      <w:r w:rsidR="00502949">
        <w:rPr>
          <w:rFonts w:cstheme="minorHAnsi"/>
          <w:sz w:val="24"/>
          <w:szCs w:val="24"/>
        </w:rPr>
        <w:t>,</w:t>
      </w:r>
      <w:r>
        <w:rPr>
          <w:rFonts w:cstheme="minorHAnsi"/>
          <w:sz w:val="24"/>
          <w:szCs w:val="24"/>
        </w:rPr>
        <w:t xml:space="preserve"> is one supposed to believe that if Flindall knew beforehand that there would be litigation involving Jack then and only then he would have carried out mandatory </w:t>
      </w:r>
      <w:r w:rsidR="00515A7C">
        <w:rPr>
          <w:rFonts w:cstheme="minorHAnsi"/>
          <w:sz w:val="24"/>
          <w:szCs w:val="24"/>
        </w:rPr>
        <w:t xml:space="preserve">performance </w:t>
      </w:r>
      <w:r>
        <w:rPr>
          <w:rFonts w:cstheme="minorHAnsi"/>
          <w:sz w:val="24"/>
          <w:szCs w:val="24"/>
        </w:rPr>
        <w:t>evaluation meetings</w:t>
      </w:r>
      <w:r w:rsidR="00502949">
        <w:rPr>
          <w:rFonts w:cstheme="minorHAnsi"/>
          <w:sz w:val="24"/>
          <w:szCs w:val="24"/>
        </w:rPr>
        <w:t xml:space="preserve"> with the </w:t>
      </w:r>
      <w:r w:rsidR="00902709">
        <w:rPr>
          <w:rFonts w:cstheme="minorHAnsi"/>
          <w:sz w:val="24"/>
          <w:szCs w:val="24"/>
        </w:rPr>
        <w:t>Applicant</w:t>
      </w:r>
      <w:r w:rsidR="00502949">
        <w:rPr>
          <w:rFonts w:cstheme="minorHAnsi"/>
          <w:sz w:val="24"/>
          <w:szCs w:val="24"/>
        </w:rPr>
        <w:t xml:space="preserve">? Ludicrous, </w:t>
      </w:r>
      <w:r w:rsidR="006A18F7">
        <w:rPr>
          <w:rFonts w:cstheme="minorHAnsi"/>
          <w:sz w:val="24"/>
          <w:szCs w:val="24"/>
        </w:rPr>
        <w:t>isn’t it?</w:t>
      </w:r>
    </w:p>
    <w:p w:rsidR="0041161D" w:rsidRDefault="0041161D" w:rsidP="0041161D">
      <w:pPr>
        <w:pStyle w:val="ListParagraph"/>
        <w:rPr>
          <w:rFonts w:cstheme="minorHAnsi"/>
          <w:sz w:val="24"/>
          <w:szCs w:val="24"/>
        </w:rPr>
      </w:pPr>
    </w:p>
    <w:p w:rsidR="003E3AEF" w:rsidRDefault="006A18F7" w:rsidP="00DF1815">
      <w:pPr>
        <w:pStyle w:val="ListParagraph"/>
        <w:numPr>
          <w:ilvl w:val="0"/>
          <w:numId w:val="2"/>
        </w:numPr>
        <w:ind w:hanging="720"/>
        <w:rPr>
          <w:rFonts w:cstheme="minorHAnsi"/>
          <w:sz w:val="24"/>
          <w:szCs w:val="24"/>
        </w:rPr>
      </w:pPr>
      <w:r w:rsidRPr="006A18F7">
        <w:rPr>
          <w:rFonts w:cstheme="minorHAnsi"/>
          <w:sz w:val="24"/>
          <w:szCs w:val="24"/>
        </w:rPr>
        <w:t>With respect to item 102, t</w:t>
      </w:r>
      <w:r w:rsidR="00E80CEF" w:rsidRPr="006A18F7">
        <w:rPr>
          <w:rFonts w:cstheme="minorHAnsi"/>
          <w:sz w:val="24"/>
          <w:szCs w:val="24"/>
        </w:rPr>
        <w:t xml:space="preserve">he </w:t>
      </w:r>
      <w:r w:rsidR="00E80CEF" w:rsidRPr="000E0E0C">
        <w:rPr>
          <w:rFonts w:cstheme="minorHAnsi"/>
          <w:sz w:val="24"/>
          <w:szCs w:val="24"/>
        </w:rPr>
        <w:t xml:space="preserve">wrongful dismissal </w:t>
      </w:r>
      <w:r w:rsidR="00DF1815" w:rsidRPr="000E0E0C">
        <w:rPr>
          <w:rFonts w:cstheme="minorHAnsi"/>
          <w:sz w:val="24"/>
          <w:szCs w:val="24"/>
        </w:rPr>
        <w:t>(as Counsel termed the termination of employment)</w:t>
      </w:r>
      <w:r w:rsidR="00DF1815">
        <w:rPr>
          <w:rFonts w:cstheme="minorHAnsi"/>
          <w:sz w:val="24"/>
          <w:szCs w:val="24"/>
        </w:rPr>
        <w:t xml:space="preserve"> </w:t>
      </w:r>
      <w:r w:rsidR="00E80CEF" w:rsidRPr="006A18F7">
        <w:rPr>
          <w:rFonts w:cstheme="minorHAnsi"/>
          <w:sz w:val="24"/>
          <w:szCs w:val="24"/>
        </w:rPr>
        <w:t>stemmed from differentia</w:t>
      </w:r>
      <w:r w:rsidRPr="006A18F7">
        <w:rPr>
          <w:rFonts w:cstheme="minorHAnsi"/>
          <w:sz w:val="24"/>
          <w:szCs w:val="24"/>
        </w:rPr>
        <w:t xml:space="preserve">l treatment </w:t>
      </w:r>
      <w:r w:rsidR="00191D81">
        <w:rPr>
          <w:rFonts w:cstheme="minorHAnsi"/>
          <w:sz w:val="24"/>
          <w:szCs w:val="24"/>
        </w:rPr>
        <w:t xml:space="preserve">and violations of </w:t>
      </w:r>
      <w:r w:rsidR="00DF1815">
        <w:rPr>
          <w:rFonts w:cstheme="minorHAnsi"/>
          <w:sz w:val="24"/>
          <w:szCs w:val="24"/>
        </w:rPr>
        <w:t>the Applicant’s</w:t>
      </w:r>
      <w:r w:rsidR="00191D81">
        <w:rPr>
          <w:rFonts w:cstheme="minorHAnsi"/>
          <w:sz w:val="24"/>
          <w:szCs w:val="24"/>
        </w:rPr>
        <w:t xml:space="preserve"> protected </w:t>
      </w:r>
      <w:r w:rsidR="00E80CEF" w:rsidRPr="006A18F7">
        <w:rPr>
          <w:rFonts w:cstheme="minorHAnsi"/>
          <w:sz w:val="24"/>
          <w:szCs w:val="24"/>
        </w:rPr>
        <w:t>ground</w:t>
      </w:r>
      <w:r w:rsidRPr="006A18F7">
        <w:rPr>
          <w:rFonts w:cstheme="minorHAnsi"/>
          <w:sz w:val="24"/>
          <w:szCs w:val="24"/>
        </w:rPr>
        <w:t>s</w:t>
      </w:r>
      <w:r w:rsidR="00E80CEF" w:rsidRPr="006A18F7">
        <w:rPr>
          <w:rFonts w:cstheme="minorHAnsi"/>
          <w:sz w:val="24"/>
          <w:szCs w:val="24"/>
        </w:rPr>
        <w:t xml:space="preserve">. It is as simple as that. How many more arguments do we have to bring forth to establish that? It is not a criminal case where the onus of proof lies with the crown that has the burden of proving beyond reasonable doubt. It is a civil case where the </w:t>
      </w:r>
      <w:r w:rsidR="00902709">
        <w:rPr>
          <w:rFonts w:cstheme="minorHAnsi"/>
          <w:sz w:val="24"/>
          <w:szCs w:val="24"/>
        </w:rPr>
        <w:t>Applicant</w:t>
      </w:r>
      <w:r w:rsidR="00E80CEF" w:rsidRPr="006A18F7">
        <w:rPr>
          <w:rFonts w:cstheme="minorHAnsi"/>
          <w:sz w:val="24"/>
          <w:szCs w:val="24"/>
        </w:rPr>
        <w:t xml:space="preserve"> must prove his case by balance of probabilities.</w:t>
      </w:r>
    </w:p>
    <w:p w:rsidR="003E3AEF" w:rsidRPr="003E3AEF" w:rsidRDefault="003E3AEF" w:rsidP="00C94ECF">
      <w:pPr>
        <w:pStyle w:val="ListParagraph"/>
        <w:rPr>
          <w:rFonts w:cstheme="minorHAnsi"/>
          <w:sz w:val="24"/>
          <w:szCs w:val="24"/>
        </w:rPr>
      </w:pPr>
    </w:p>
    <w:p w:rsidR="00ED2D91" w:rsidRPr="003E3AEF" w:rsidRDefault="00E80CEF" w:rsidP="00C94ECF">
      <w:pPr>
        <w:pStyle w:val="ListParagraph"/>
        <w:numPr>
          <w:ilvl w:val="0"/>
          <w:numId w:val="2"/>
        </w:numPr>
        <w:ind w:hanging="720"/>
        <w:rPr>
          <w:rFonts w:cstheme="minorHAnsi"/>
          <w:sz w:val="24"/>
          <w:szCs w:val="24"/>
        </w:rPr>
      </w:pPr>
      <w:r w:rsidRPr="003E3AEF">
        <w:rPr>
          <w:rFonts w:cstheme="minorHAnsi"/>
          <w:sz w:val="24"/>
          <w:szCs w:val="24"/>
        </w:rPr>
        <w:t xml:space="preserve">Foreign-born </w:t>
      </w:r>
      <w:r w:rsidR="006A18F7" w:rsidRPr="003E3AEF">
        <w:rPr>
          <w:rFonts w:cstheme="minorHAnsi"/>
          <w:sz w:val="24"/>
          <w:szCs w:val="24"/>
        </w:rPr>
        <w:t xml:space="preserve">mature </w:t>
      </w:r>
      <w:r w:rsidRPr="003E3AEF">
        <w:rPr>
          <w:rFonts w:cstheme="minorHAnsi"/>
          <w:sz w:val="24"/>
          <w:szCs w:val="24"/>
        </w:rPr>
        <w:t xml:space="preserve">individual of Russian-Jewish </w:t>
      </w:r>
      <w:r w:rsidR="00F75E50" w:rsidRPr="003E3AEF">
        <w:rPr>
          <w:rFonts w:cstheme="minorHAnsi"/>
          <w:sz w:val="24"/>
          <w:szCs w:val="24"/>
        </w:rPr>
        <w:t>ancestry</w:t>
      </w:r>
      <w:r w:rsidRPr="003E3AEF">
        <w:rPr>
          <w:rFonts w:cstheme="minorHAnsi"/>
          <w:sz w:val="24"/>
          <w:szCs w:val="24"/>
        </w:rPr>
        <w:t xml:space="preserve"> </w:t>
      </w:r>
      <w:r w:rsidR="00F75E50" w:rsidRPr="003E3AEF">
        <w:rPr>
          <w:rFonts w:cstheme="minorHAnsi"/>
          <w:sz w:val="24"/>
          <w:szCs w:val="24"/>
        </w:rPr>
        <w:t xml:space="preserve">who </w:t>
      </w:r>
      <w:r w:rsidRPr="003E3AEF">
        <w:rPr>
          <w:rFonts w:cstheme="minorHAnsi"/>
          <w:sz w:val="24"/>
          <w:szCs w:val="24"/>
        </w:rPr>
        <w:t xml:space="preserve">speaks with a thick accent, </w:t>
      </w:r>
      <w:r w:rsidR="00F75E50" w:rsidRPr="003E3AEF">
        <w:rPr>
          <w:rFonts w:cstheme="minorHAnsi"/>
          <w:sz w:val="24"/>
          <w:szCs w:val="24"/>
        </w:rPr>
        <w:t xml:space="preserve">who had </w:t>
      </w:r>
      <w:r w:rsidRPr="003E3AEF">
        <w:rPr>
          <w:rFonts w:cstheme="minorHAnsi"/>
          <w:sz w:val="24"/>
          <w:szCs w:val="24"/>
        </w:rPr>
        <w:t xml:space="preserve">no problems in life in general, </w:t>
      </w:r>
      <w:r w:rsidR="0010267F" w:rsidRPr="003E3AEF">
        <w:rPr>
          <w:rFonts w:cstheme="minorHAnsi"/>
          <w:sz w:val="24"/>
          <w:szCs w:val="24"/>
        </w:rPr>
        <w:t xml:space="preserve">an assistant professor and one </w:t>
      </w:r>
      <w:r w:rsidRPr="003E3AEF">
        <w:rPr>
          <w:rFonts w:cstheme="minorHAnsi"/>
          <w:sz w:val="24"/>
          <w:szCs w:val="24"/>
        </w:rPr>
        <w:t xml:space="preserve">who succeeded and in fact excelled in </w:t>
      </w:r>
      <w:r w:rsidR="006A18F7" w:rsidRPr="003E3AEF">
        <w:rPr>
          <w:rFonts w:cstheme="minorHAnsi"/>
          <w:sz w:val="24"/>
          <w:szCs w:val="24"/>
        </w:rPr>
        <w:t xml:space="preserve">numerous </w:t>
      </w:r>
      <w:r w:rsidRPr="003E3AEF">
        <w:rPr>
          <w:rFonts w:cstheme="minorHAnsi"/>
          <w:sz w:val="24"/>
          <w:szCs w:val="24"/>
        </w:rPr>
        <w:t xml:space="preserve">areas </w:t>
      </w:r>
      <w:r w:rsidR="00DF1815">
        <w:rPr>
          <w:rFonts w:cstheme="minorHAnsi"/>
          <w:sz w:val="24"/>
          <w:szCs w:val="24"/>
        </w:rPr>
        <w:t xml:space="preserve">of life </w:t>
      </w:r>
      <w:r w:rsidRPr="003E3AEF">
        <w:rPr>
          <w:rFonts w:cstheme="minorHAnsi"/>
          <w:sz w:val="24"/>
          <w:szCs w:val="24"/>
        </w:rPr>
        <w:t xml:space="preserve">before, </w:t>
      </w:r>
      <w:r w:rsidR="003E3AEF" w:rsidRPr="003E3AEF">
        <w:rPr>
          <w:rFonts w:cstheme="minorHAnsi"/>
          <w:sz w:val="24"/>
          <w:szCs w:val="24"/>
        </w:rPr>
        <w:t>who the OPP’s own psychologist believes is a very capable, hig</w:t>
      </w:r>
      <w:r w:rsidR="003E3AEF">
        <w:rPr>
          <w:rFonts w:cstheme="minorHAnsi"/>
          <w:sz w:val="24"/>
          <w:szCs w:val="24"/>
        </w:rPr>
        <w:t xml:space="preserve">hly intelligent recruit who would </w:t>
      </w:r>
      <w:r w:rsidR="003E3AEF" w:rsidRPr="003E3AEF">
        <w:rPr>
          <w:rFonts w:cstheme="minorHAnsi"/>
          <w:sz w:val="24"/>
          <w:szCs w:val="24"/>
        </w:rPr>
        <w:t xml:space="preserve">be an asset to the organization, </w:t>
      </w:r>
      <w:r w:rsidRPr="003E3AEF">
        <w:rPr>
          <w:rFonts w:cstheme="minorHAnsi"/>
          <w:sz w:val="24"/>
          <w:szCs w:val="24"/>
        </w:rPr>
        <w:t xml:space="preserve">all of a sudden becomes so incompetent and bad to the point of not being able to interact with people and perform his duties. </w:t>
      </w:r>
      <w:r w:rsidR="00902801" w:rsidRPr="003E3AEF">
        <w:rPr>
          <w:rFonts w:cstheme="minorHAnsi"/>
          <w:sz w:val="24"/>
          <w:szCs w:val="24"/>
        </w:rPr>
        <w:t>He is</w:t>
      </w:r>
      <w:r w:rsidR="003E3AEF" w:rsidRPr="003E3AEF">
        <w:rPr>
          <w:rFonts w:cstheme="minorHAnsi"/>
          <w:sz w:val="24"/>
          <w:szCs w:val="24"/>
        </w:rPr>
        <w:t xml:space="preserve"> even</w:t>
      </w:r>
      <w:r w:rsidR="00902801" w:rsidRPr="003E3AEF">
        <w:rPr>
          <w:rFonts w:cstheme="minorHAnsi"/>
          <w:sz w:val="24"/>
          <w:szCs w:val="24"/>
        </w:rPr>
        <w:t xml:space="preserve"> deemed to have </w:t>
      </w:r>
      <w:r w:rsidR="0057603B" w:rsidRPr="003E3AEF">
        <w:rPr>
          <w:rFonts w:cstheme="minorHAnsi"/>
          <w:sz w:val="24"/>
          <w:szCs w:val="24"/>
        </w:rPr>
        <w:t xml:space="preserve">no common sense by his coach </w:t>
      </w:r>
      <w:r w:rsidR="0057603B" w:rsidRPr="003E3AEF">
        <w:rPr>
          <w:rFonts w:cstheme="minorHAnsi"/>
          <w:sz w:val="24"/>
          <w:szCs w:val="24"/>
        </w:rPr>
        <w:lastRenderedPageBreak/>
        <w:t xml:space="preserve">officer. </w:t>
      </w:r>
      <w:r w:rsidRPr="003E3AEF">
        <w:rPr>
          <w:rFonts w:cstheme="minorHAnsi"/>
          <w:sz w:val="24"/>
          <w:szCs w:val="24"/>
        </w:rPr>
        <w:t xml:space="preserve">On a balance of probabilities what sense does it make? </w:t>
      </w:r>
      <w:r w:rsidR="002C37E0" w:rsidRPr="003E3AEF">
        <w:rPr>
          <w:rFonts w:cstheme="minorHAnsi"/>
          <w:sz w:val="24"/>
          <w:szCs w:val="24"/>
        </w:rPr>
        <w:t>We ask the Vice Chair to ask a very simple question</w:t>
      </w:r>
      <w:r w:rsidR="00193545" w:rsidRPr="003E3AEF">
        <w:rPr>
          <w:rFonts w:cstheme="minorHAnsi"/>
          <w:sz w:val="24"/>
          <w:szCs w:val="24"/>
        </w:rPr>
        <w:t xml:space="preserve">: “Based upon all the evidence explored and all the parties heard from and keeping in mind all the false </w:t>
      </w:r>
      <w:r w:rsidR="003E3AEF" w:rsidRPr="003E3AEF">
        <w:rPr>
          <w:rFonts w:cstheme="minorHAnsi"/>
          <w:sz w:val="24"/>
          <w:szCs w:val="24"/>
        </w:rPr>
        <w:t xml:space="preserve">and unsubstantiated </w:t>
      </w:r>
      <w:r w:rsidR="00193545" w:rsidRPr="003E3AEF">
        <w:rPr>
          <w:rFonts w:cstheme="minorHAnsi"/>
          <w:sz w:val="24"/>
          <w:szCs w:val="24"/>
        </w:rPr>
        <w:t xml:space="preserve">accusations made about the </w:t>
      </w:r>
      <w:r w:rsidR="00902709">
        <w:rPr>
          <w:rFonts w:cstheme="minorHAnsi"/>
          <w:sz w:val="24"/>
          <w:szCs w:val="24"/>
        </w:rPr>
        <w:t>Applicant</w:t>
      </w:r>
      <w:r w:rsidR="00193545" w:rsidRPr="003E3AEF">
        <w:rPr>
          <w:rFonts w:cstheme="minorHAnsi"/>
          <w:sz w:val="24"/>
          <w:szCs w:val="24"/>
        </w:rPr>
        <w:t xml:space="preserve"> by his peers, did the </w:t>
      </w:r>
      <w:r w:rsidR="00902709">
        <w:rPr>
          <w:rFonts w:cstheme="minorHAnsi"/>
          <w:sz w:val="24"/>
          <w:szCs w:val="24"/>
        </w:rPr>
        <w:t>Applicant</w:t>
      </w:r>
      <w:r w:rsidR="00193545" w:rsidRPr="003E3AEF">
        <w:rPr>
          <w:rFonts w:cstheme="minorHAnsi"/>
          <w:sz w:val="24"/>
          <w:szCs w:val="24"/>
        </w:rPr>
        <w:t xml:space="preserve"> work in a supp</w:t>
      </w:r>
      <w:r w:rsidR="00AE6916" w:rsidRPr="003E3AEF">
        <w:rPr>
          <w:rFonts w:cstheme="minorHAnsi"/>
          <w:sz w:val="24"/>
          <w:szCs w:val="24"/>
        </w:rPr>
        <w:t>ortive work environment or</w:t>
      </w:r>
      <w:r w:rsidR="009F538D" w:rsidRPr="003E3AEF">
        <w:rPr>
          <w:rFonts w:cstheme="minorHAnsi"/>
          <w:sz w:val="24"/>
          <w:szCs w:val="24"/>
        </w:rPr>
        <w:t xml:space="preserve"> </w:t>
      </w:r>
      <w:r w:rsidR="00193545" w:rsidRPr="003E3AEF">
        <w:rPr>
          <w:rFonts w:cstheme="minorHAnsi"/>
          <w:sz w:val="24"/>
          <w:szCs w:val="24"/>
        </w:rPr>
        <w:t>not?”</w:t>
      </w:r>
    </w:p>
    <w:p w:rsidR="00ED2D91" w:rsidRPr="00ED2D91" w:rsidRDefault="00ED2D91" w:rsidP="00C94ECF">
      <w:pPr>
        <w:pStyle w:val="ListParagraph"/>
        <w:rPr>
          <w:rFonts w:cstheme="minorHAnsi"/>
          <w:sz w:val="24"/>
          <w:szCs w:val="24"/>
        </w:rPr>
      </w:pPr>
    </w:p>
    <w:p w:rsidR="00051126" w:rsidRDefault="0010267F" w:rsidP="00C94ECF">
      <w:pPr>
        <w:pStyle w:val="ListParagraph"/>
        <w:numPr>
          <w:ilvl w:val="0"/>
          <w:numId w:val="2"/>
        </w:numPr>
        <w:ind w:hanging="720"/>
        <w:rPr>
          <w:rFonts w:cstheme="minorHAnsi"/>
          <w:sz w:val="24"/>
          <w:szCs w:val="24"/>
        </w:rPr>
      </w:pPr>
      <w:r>
        <w:rPr>
          <w:rFonts w:cstheme="minorHAnsi"/>
          <w:sz w:val="24"/>
          <w:szCs w:val="24"/>
        </w:rPr>
        <w:t xml:space="preserve">Counsel’s comments in 102 only shows that the </w:t>
      </w:r>
      <w:r w:rsidR="0023626C">
        <w:rPr>
          <w:rFonts w:cstheme="minorHAnsi"/>
          <w:sz w:val="24"/>
          <w:szCs w:val="24"/>
        </w:rPr>
        <w:t>Respondent</w:t>
      </w:r>
      <w:r w:rsidR="0057603B" w:rsidRPr="0057603B">
        <w:rPr>
          <w:rFonts w:cstheme="minorHAnsi"/>
          <w:sz w:val="24"/>
          <w:szCs w:val="24"/>
        </w:rPr>
        <w:t xml:space="preserve"> is simply grabbing at straws.</w:t>
      </w:r>
    </w:p>
    <w:p w:rsidR="00051126" w:rsidRPr="00051126" w:rsidRDefault="00051126" w:rsidP="00C94ECF">
      <w:pPr>
        <w:pStyle w:val="ListParagraph"/>
        <w:rPr>
          <w:rFonts w:cstheme="minorHAnsi"/>
          <w:sz w:val="24"/>
          <w:szCs w:val="24"/>
        </w:rPr>
      </w:pPr>
    </w:p>
    <w:p w:rsidR="00051126" w:rsidRPr="0010267F" w:rsidRDefault="006A18F7" w:rsidP="00C94ECF">
      <w:pPr>
        <w:pStyle w:val="ListParagraph"/>
        <w:numPr>
          <w:ilvl w:val="0"/>
          <w:numId w:val="2"/>
        </w:numPr>
        <w:ind w:hanging="720"/>
        <w:rPr>
          <w:rFonts w:cstheme="minorHAnsi"/>
          <w:sz w:val="24"/>
          <w:szCs w:val="24"/>
        </w:rPr>
      </w:pPr>
      <w:r w:rsidRPr="00051126">
        <w:rPr>
          <w:rFonts w:cstheme="minorHAnsi"/>
          <w:sz w:val="24"/>
          <w:szCs w:val="24"/>
        </w:rPr>
        <w:t>With respect to item 104</w:t>
      </w:r>
      <w:r w:rsidR="00502949">
        <w:rPr>
          <w:rFonts w:cstheme="minorHAnsi"/>
          <w:sz w:val="24"/>
          <w:szCs w:val="24"/>
        </w:rPr>
        <w:t>,</w:t>
      </w:r>
      <w:r w:rsidRPr="00051126">
        <w:rPr>
          <w:rFonts w:cstheme="minorHAnsi"/>
          <w:sz w:val="24"/>
          <w:szCs w:val="24"/>
        </w:rPr>
        <w:t xml:space="preserve"> and w</w:t>
      </w:r>
      <w:r w:rsidR="006436EB" w:rsidRPr="00051126">
        <w:rPr>
          <w:rFonts w:cstheme="minorHAnsi"/>
          <w:sz w:val="24"/>
          <w:szCs w:val="24"/>
        </w:rPr>
        <w:t xml:space="preserve">ith all due respect to </w:t>
      </w:r>
      <w:r w:rsidR="00CB0151" w:rsidRPr="00051126">
        <w:rPr>
          <w:rFonts w:cstheme="minorHAnsi"/>
          <w:sz w:val="24"/>
          <w:szCs w:val="24"/>
        </w:rPr>
        <w:t>Counsel</w:t>
      </w:r>
      <w:r w:rsidR="006436EB" w:rsidRPr="00051126">
        <w:rPr>
          <w:rFonts w:cstheme="minorHAnsi"/>
          <w:sz w:val="24"/>
          <w:szCs w:val="24"/>
        </w:rPr>
        <w:t xml:space="preserve">’s argument that Mr. Johnston did not recall a discussion with Campbell, the documentary evidence created at the time </w:t>
      </w:r>
      <w:r w:rsidR="00A95750" w:rsidRPr="00051126">
        <w:rPr>
          <w:rFonts w:cstheme="minorHAnsi"/>
          <w:sz w:val="24"/>
          <w:szCs w:val="24"/>
        </w:rPr>
        <w:t xml:space="preserve">of </w:t>
      </w:r>
      <w:r w:rsidR="006436EB" w:rsidRPr="00051126">
        <w:rPr>
          <w:rFonts w:cstheme="minorHAnsi"/>
          <w:sz w:val="24"/>
          <w:szCs w:val="24"/>
        </w:rPr>
        <w:t>the events suggests exactly otherwise.</w:t>
      </w:r>
      <w:r w:rsidR="00474A89" w:rsidRPr="00051126">
        <w:rPr>
          <w:rFonts w:cstheme="minorHAnsi"/>
          <w:sz w:val="24"/>
          <w:szCs w:val="24"/>
        </w:rPr>
        <w:t xml:space="preserve"> </w:t>
      </w:r>
      <w:r w:rsidR="00474A89" w:rsidRPr="00051126">
        <w:rPr>
          <w:rFonts w:cstheme="minorHAnsi"/>
          <w:sz w:val="24"/>
          <w:szCs w:val="24"/>
          <w:lang w:val="en-CA"/>
        </w:rPr>
        <w:t xml:space="preserve">It is reasonable to suppose that Mr. Johnston might </w:t>
      </w:r>
      <w:r w:rsidR="001C214B">
        <w:rPr>
          <w:rFonts w:cstheme="minorHAnsi"/>
          <w:sz w:val="24"/>
          <w:szCs w:val="24"/>
          <w:lang w:val="en-CA"/>
        </w:rPr>
        <w:t xml:space="preserve">truly </w:t>
      </w:r>
      <w:r w:rsidR="00474A89" w:rsidRPr="00051126">
        <w:rPr>
          <w:rFonts w:cstheme="minorHAnsi"/>
          <w:sz w:val="24"/>
          <w:szCs w:val="24"/>
          <w:lang w:val="en-CA"/>
        </w:rPr>
        <w:t>not remember or might convenie</w:t>
      </w:r>
      <w:r w:rsidR="001C214B">
        <w:rPr>
          <w:rFonts w:cstheme="minorHAnsi"/>
          <w:sz w:val="24"/>
          <w:szCs w:val="24"/>
          <w:lang w:val="en-CA"/>
        </w:rPr>
        <w:t xml:space="preserve">ntly pretend not to remember </w:t>
      </w:r>
      <w:r w:rsidR="001C214B" w:rsidRPr="00051126">
        <w:rPr>
          <w:rFonts w:cstheme="minorHAnsi"/>
          <w:sz w:val="24"/>
          <w:szCs w:val="24"/>
          <w:lang w:val="en-CA"/>
        </w:rPr>
        <w:t>this discussion 7 years after the fact</w:t>
      </w:r>
      <w:r w:rsidR="001C214B">
        <w:rPr>
          <w:rFonts w:cstheme="minorHAnsi"/>
          <w:sz w:val="24"/>
          <w:szCs w:val="24"/>
          <w:lang w:val="en-CA"/>
        </w:rPr>
        <w:t>.</w:t>
      </w:r>
      <w:r w:rsidR="00474A89" w:rsidRPr="00051126">
        <w:rPr>
          <w:rFonts w:cstheme="minorHAnsi"/>
          <w:sz w:val="24"/>
          <w:szCs w:val="24"/>
          <w:lang w:val="en-CA"/>
        </w:rPr>
        <w:t xml:space="preserve"> However, documentary evidence in the form of </w:t>
      </w:r>
      <w:r w:rsidR="00474A89" w:rsidRPr="00051126">
        <w:rPr>
          <w:rFonts w:cstheme="minorHAnsi"/>
          <w:sz w:val="24"/>
          <w:szCs w:val="24"/>
        </w:rPr>
        <w:t>written</w:t>
      </w:r>
      <w:r w:rsidR="006436EB" w:rsidRPr="00051126">
        <w:rPr>
          <w:rFonts w:cstheme="minorHAnsi"/>
          <w:sz w:val="24"/>
          <w:szCs w:val="24"/>
        </w:rPr>
        <w:t xml:space="preserve"> communication from the Operations Manager (Campbell) to the Detachment Commander (Johnston) where it is explicitly stated </w:t>
      </w:r>
      <w:r w:rsidR="00DA50EF" w:rsidRPr="00051126">
        <w:rPr>
          <w:rFonts w:cstheme="minorHAnsi"/>
          <w:sz w:val="24"/>
          <w:szCs w:val="24"/>
        </w:rPr>
        <w:t>that</w:t>
      </w:r>
      <w:r w:rsidR="00474A89" w:rsidRPr="00051126">
        <w:rPr>
          <w:rFonts w:cstheme="minorHAnsi"/>
          <w:sz w:val="24"/>
          <w:szCs w:val="24"/>
          <w:lang w:val="en-CA"/>
        </w:rPr>
        <w:t xml:space="preserve"> Campbell and Johnston </w:t>
      </w:r>
      <w:r w:rsidR="001C214B" w:rsidRPr="0010267F">
        <w:rPr>
          <w:rFonts w:cstheme="minorHAnsi"/>
          <w:b/>
          <w:sz w:val="24"/>
          <w:szCs w:val="24"/>
          <w:lang w:val="en-CA"/>
        </w:rPr>
        <w:t>discussed</w:t>
      </w:r>
      <w:r w:rsidR="001C214B">
        <w:rPr>
          <w:rFonts w:cstheme="minorHAnsi"/>
          <w:sz w:val="24"/>
          <w:szCs w:val="24"/>
          <w:lang w:val="en-CA"/>
        </w:rPr>
        <w:t xml:space="preserve"> and </w:t>
      </w:r>
      <w:r w:rsidR="00DA50EF" w:rsidRPr="0010267F">
        <w:rPr>
          <w:rFonts w:cstheme="minorHAnsi"/>
          <w:b/>
          <w:sz w:val="24"/>
          <w:szCs w:val="24"/>
          <w:lang w:val="en-CA"/>
        </w:rPr>
        <w:t>felt</w:t>
      </w:r>
      <w:r w:rsidR="00DA50EF" w:rsidRPr="00051126">
        <w:rPr>
          <w:rFonts w:cstheme="minorHAnsi"/>
          <w:sz w:val="24"/>
          <w:szCs w:val="24"/>
          <w:lang w:val="en-CA"/>
        </w:rPr>
        <w:t xml:space="preserve"> Ja</w:t>
      </w:r>
      <w:r w:rsidR="001C214B">
        <w:rPr>
          <w:rFonts w:cstheme="minorHAnsi"/>
          <w:sz w:val="24"/>
          <w:szCs w:val="24"/>
          <w:lang w:val="en-CA"/>
        </w:rPr>
        <w:t>ck was being targeted,</w:t>
      </w:r>
      <w:r w:rsidR="00DA50EF" w:rsidRPr="00051126">
        <w:rPr>
          <w:rFonts w:cstheme="minorHAnsi"/>
          <w:sz w:val="24"/>
          <w:szCs w:val="24"/>
          <w:lang w:val="en-CA"/>
        </w:rPr>
        <w:t xml:space="preserve"> </w:t>
      </w:r>
      <w:r w:rsidR="00051126" w:rsidRPr="00051126">
        <w:rPr>
          <w:rFonts w:cstheme="minorHAnsi"/>
          <w:sz w:val="24"/>
          <w:szCs w:val="24"/>
          <w:lang w:val="en-CA"/>
        </w:rPr>
        <w:t>'</w:t>
      </w:r>
      <w:r w:rsidR="00051126" w:rsidRPr="00051126">
        <w:rPr>
          <w:rFonts w:cstheme="minorHAnsi"/>
          <w:i/>
          <w:iCs/>
          <w:sz w:val="24"/>
          <w:szCs w:val="24"/>
          <w:lang w:val="en-CA"/>
        </w:rPr>
        <w:t>I think we are headed to an issue, as Mike is basically an immigrant of Jewish background.  You and I discussed we felt he was being targeted...</w:t>
      </w:r>
      <w:proofErr w:type="gramStart"/>
      <w:r w:rsidR="00051126" w:rsidRPr="00051126">
        <w:rPr>
          <w:rFonts w:cstheme="minorHAnsi"/>
          <w:i/>
          <w:iCs/>
          <w:sz w:val="24"/>
          <w:szCs w:val="24"/>
          <w:lang w:val="en-CA"/>
        </w:rPr>
        <w:t>'</w:t>
      </w:r>
      <w:r w:rsidR="00051126">
        <w:rPr>
          <w:rFonts w:cstheme="minorHAnsi"/>
          <w:sz w:val="24"/>
          <w:szCs w:val="24"/>
          <w:lang w:val="en-CA"/>
        </w:rPr>
        <w:t>,</w:t>
      </w:r>
      <w:proofErr w:type="gramEnd"/>
      <w:r w:rsidR="00051126">
        <w:rPr>
          <w:rStyle w:val="FootnoteReference"/>
          <w:rFonts w:cstheme="minorHAnsi"/>
          <w:sz w:val="24"/>
          <w:szCs w:val="24"/>
          <w:lang w:val="en-CA"/>
        </w:rPr>
        <w:footnoteReference w:id="102"/>
      </w:r>
      <w:r w:rsidR="00051126">
        <w:rPr>
          <w:rFonts w:cstheme="minorHAnsi"/>
          <w:sz w:val="24"/>
          <w:szCs w:val="24"/>
          <w:lang w:val="en-CA"/>
        </w:rPr>
        <w:t xml:space="preserve"> </w:t>
      </w:r>
      <w:r w:rsidR="00051126" w:rsidRPr="00051126">
        <w:rPr>
          <w:rFonts w:cstheme="minorHAnsi"/>
          <w:sz w:val="24"/>
          <w:szCs w:val="24"/>
          <w:lang w:val="en-CA"/>
        </w:rPr>
        <w:t>should be more than sufficient proof that this discussion did take place.</w:t>
      </w:r>
      <w:r w:rsidR="00051126">
        <w:rPr>
          <w:rStyle w:val="FootnoteReference"/>
          <w:rFonts w:cstheme="minorHAnsi"/>
          <w:sz w:val="24"/>
          <w:szCs w:val="24"/>
          <w:lang w:val="en-CA"/>
        </w:rPr>
        <w:footnoteReference w:id="103"/>
      </w:r>
    </w:p>
    <w:p w:rsidR="006A00EA" w:rsidRPr="006A00EA" w:rsidRDefault="006A00EA" w:rsidP="00C94ECF">
      <w:pPr>
        <w:pStyle w:val="ListParagraph"/>
        <w:rPr>
          <w:rFonts w:cstheme="minorHAnsi"/>
          <w:sz w:val="24"/>
          <w:szCs w:val="24"/>
          <w:highlight w:val="yellow"/>
          <w:lang w:val="en-CA"/>
        </w:rPr>
      </w:pPr>
    </w:p>
    <w:p w:rsidR="009C74F1" w:rsidRPr="009C74F1" w:rsidRDefault="006A00EA" w:rsidP="00C94ECF">
      <w:pPr>
        <w:pStyle w:val="ListParagraph"/>
        <w:numPr>
          <w:ilvl w:val="0"/>
          <w:numId w:val="2"/>
        </w:numPr>
        <w:ind w:hanging="720"/>
        <w:rPr>
          <w:rFonts w:cstheme="minorHAnsi"/>
          <w:sz w:val="24"/>
          <w:szCs w:val="24"/>
          <w:lang w:val="en-CA"/>
        </w:rPr>
      </w:pPr>
      <w:r w:rsidRPr="006A00EA">
        <w:rPr>
          <w:rFonts w:cstheme="minorHAnsi"/>
          <w:sz w:val="24"/>
          <w:szCs w:val="24"/>
          <w:lang w:val="en-CA"/>
        </w:rPr>
        <w:t>With respect to item 107, t</w:t>
      </w:r>
      <w:r w:rsidR="00CF0EAC" w:rsidRPr="006A00EA">
        <w:rPr>
          <w:rFonts w:cstheme="minorHAnsi"/>
          <w:sz w:val="24"/>
          <w:szCs w:val="24"/>
          <w:lang w:val="en-CA"/>
        </w:rPr>
        <w:t xml:space="preserve">hough Nie testified that </w:t>
      </w:r>
      <w:r w:rsidR="00F01E14" w:rsidRPr="006A00EA">
        <w:rPr>
          <w:rFonts w:cstheme="minorHAnsi"/>
          <w:sz w:val="24"/>
          <w:szCs w:val="24"/>
          <w:lang w:val="en-CA"/>
        </w:rPr>
        <w:t xml:space="preserve">Jack improved in </w:t>
      </w:r>
      <w:r w:rsidRPr="006A00EA">
        <w:rPr>
          <w:rFonts w:cstheme="minorHAnsi"/>
          <w:sz w:val="24"/>
          <w:szCs w:val="24"/>
          <w:lang w:val="en-CA"/>
        </w:rPr>
        <w:t>8</w:t>
      </w:r>
      <w:r w:rsidR="00F01E14" w:rsidRPr="006A00EA">
        <w:rPr>
          <w:rFonts w:cstheme="minorHAnsi"/>
          <w:sz w:val="24"/>
          <w:szCs w:val="24"/>
          <w:lang w:val="en-CA"/>
        </w:rPr>
        <w:t xml:space="preserve"> cat</w:t>
      </w:r>
      <w:r w:rsidR="00EE4D20">
        <w:rPr>
          <w:rFonts w:cstheme="minorHAnsi"/>
          <w:sz w:val="24"/>
          <w:szCs w:val="24"/>
          <w:lang w:val="en-CA"/>
        </w:rPr>
        <w:t xml:space="preserve">egories from the </w:t>
      </w:r>
      <w:r w:rsidR="00CF0EAC" w:rsidRPr="006A00EA">
        <w:rPr>
          <w:rFonts w:cstheme="minorHAnsi"/>
          <w:sz w:val="24"/>
          <w:szCs w:val="24"/>
          <w:lang w:val="en-CA"/>
        </w:rPr>
        <w:t xml:space="preserve">previous month it is a fact that </w:t>
      </w:r>
      <w:r w:rsidR="00A95750" w:rsidRPr="006A00EA">
        <w:rPr>
          <w:rFonts w:cstheme="minorHAnsi"/>
          <w:sz w:val="24"/>
          <w:szCs w:val="24"/>
          <w:lang w:val="en-CA"/>
        </w:rPr>
        <w:t xml:space="preserve">Nie saw that </w:t>
      </w:r>
      <w:r w:rsidR="00CF0EAC" w:rsidRPr="006A00EA">
        <w:rPr>
          <w:rFonts w:cstheme="minorHAnsi"/>
          <w:sz w:val="24"/>
          <w:szCs w:val="24"/>
          <w:lang w:val="en-CA"/>
        </w:rPr>
        <w:t xml:space="preserve">Jack improved only in </w:t>
      </w:r>
      <w:r w:rsidRPr="006A00EA">
        <w:rPr>
          <w:rFonts w:cstheme="minorHAnsi"/>
          <w:sz w:val="24"/>
          <w:szCs w:val="24"/>
          <w:lang w:val="en-CA"/>
        </w:rPr>
        <w:t>4</w:t>
      </w:r>
      <w:r w:rsidR="00CF0EAC" w:rsidRPr="006A00EA">
        <w:rPr>
          <w:rFonts w:cstheme="minorHAnsi"/>
          <w:sz w:val="24"/>
          <w:szCs w:val="24"/>
          <w:lang w:val="en-CA"/>
        </w:rPr>
        <w:t xml:space="preserve"> </w:t>
      </w:r>
      <w:r w:rsidR="000719BC" w:rsidRPr="006A00EA">
        <w:rPr>
          <w:rFonts w:cstheme="minorHAnsi"/>
          <w:sz w:val="24"/>
          <w:szCs w:val="24"/>
          <w:lang w:val="en-CA"/>
        </w:rPr>
        <w:t>categories</w:t>
      </w:r>
      <w:r w:rsidR="00CF0EAC" w:rsidRPr="006A00EA">
        <w:rPr>
          <w:rFonts w:cstheme="minorHAnsi"/>
          <w:sz w:val="24"/>
          <w:szCs w:val="24"/>
          <w:lang w:val="en-CA"/>
        </w:rPr>
        <w:t xml:space="preserve"> from the previous month. </w:t>
      </w:r>
      <w:r w:rsidR="00F01E14" w:rsidRPr="006A00EA">
        <w:rPr>
          <w:rFonts w:cstheme="minorHAnsi"/>
          <w:sz w:val="24"/>
          <w:szCs w:val="24"/>
          <w:lang w:val="en-CA"/>
        </w:rPr>
        <w:t xml:space="preserve">There </w:t>
      </w:r>
      <w:r w:rsidR="00CF0EAC" w:rsidRPr="006A00EA">
        <w:rPr>
          <w:rFonts w:cstheme="minorHAnsi"/>
          <w:sz w:val="24"/>
          <w:szCs w:val="24"/>
          <w:lang w:val="en-CA"/>
        </w:rPr>
        <w:t>are</w:t>
      </w:r>
      <w:r w:rsidR="00F01E14" w:rsidRPr="006A00EA">
        <w:rPr>
          <w:rFonts w:cstheme="minorHAnsi"/>
          <w:sz w:val="24"/>
          <w:szCs w:val="24"/>
          <w:lang w:val="en-CA"/>
        </w:rPr>
        <w:t xml:space="preserve"> 17 ‘Does Not Meet Requirements’ ratings in PER</w:t>
      </w:r>
      <w:r w:rsidR="00DF1815">
        <w:rPr>
          <w:rFonts w:cstheme="minorHAnsi"/>
          <w:sz w:val="24"/>
          <w:szCs w:val="24"/>
          <w:lang w:val="en-CA"/>
        </w:rPr>
        <w:t xml:space="preserve"> </w:t>
      </w:r>
      <w:r w:rsidR="00F01E14" w:rsidRPr="006A00EA">
        <w:rPr>
          <w:rFonts w:cstheme="minorHAnsi"/>
          <w:sz w:val="24"/>
          <w:szCs w:val="24"/>
          <w:lang w:val="en-CA"/>
        </w:rPr>
        <w:t>8</w:t>
      </w:r>
      <w:r w:rsidR="00A95750" w:rsidRPr="006A00EA">
        <w:rPr>
          <w:rStyle w:val="FootnoteReference"/>
          <w:rFonts w:cstheme="minorHAnsi"/>
          <w:sz w:val="24"/>
          <w:szCs w:val="24"/>
          <w:lang w:val="en-CA"/>
        </w:rPr>
        <w:footnoteReference w:id="104"/>
      </w:r>
      <w:r w:rsidR="00F01E14" w:rsidRPr="006A00EA">
        <w:rPr>
          <w:rFonts w:cstheme="minorHAnsi"/>
          <w:sz w:val="24"/>
          <w:szCs w:val="24"/>
          <w:lang w:val="en-CA"/>
        </w:rPr>
        <w:t xml:space="preserve"> and 1</w:t>
      </w:r>
      <w:r w:rsidRPr="006A00EA">
        <w:rPr>
          <w:rFonts w:cstheme="minorHAnsi"/>
          <w:sz w:val="24"/>
          <w:szCs w:val="24"/>
          <w:lang w:val="en-CA"/>
        </w:rPr>
        <w:t>3 ‘Does Not Meet Requirements’</w:t>
      </w:r>
      <w:r w:rsidR="00F01E14" w:rsidRPr="006A00EA">
        <w:rPr>
          <w:rFonts w:cstheme="minorHAnsi"/>
          <w:sz w:val="24"/>
          <w:szCs w:val="24"/>
          <w:lang w:val="en-CA"/>
        </w:rPr>
        <w:t xml:space="preserve"> </w:t>
      </w:r>
      <w:r w:rsidR="00BD46CE">
        <w:rPr>
          <w:rFonts w:cstheme="minorHAnsi"/>
          <w:sz w:val="24"/>
          <w:szCs w:val="24"/>
          <w:lang w:val="en-CA"/>
        </w:rPr>
        <w:t xml:space="preserve">ratings </w:t>
      </w:r>
      <w:r w:rsidR="00F01E14" w:rsidRPr="006A00EA">
        <w:rPr>
          <w:rFonts w:cstheme="minorHAnsi"/>
          <w:sz w:val="24"/>
          <w:szCs w:val="24"/>
          <w:lang w:val="en-CA"/>
        </w:rPr>
        <w:t>in PER</w:t>
      </w:r>
      <w:r w:rsidRPr="006A00EA">
        <w:rPr>
          <w:rFonts w:cstheme="minorHAnsi"/>
          <w:sz w:val="24"/>
          <w:szCs w:val="24"/>
          <w:lang w:val="en-CA"/>
        </w:rPr>
        <w:t xml:space="preserve"> 9.</w:t>
      </w:r>
      <w:r w:rsidR="00A95750" w:rsidRPr="006A00EA">
        <w:rPr>
          <w:rStyle w:val="FootnoteReference"/>
          <w:rFonts w:cstheme="minorHAnsi"/>
          <w:sz w:val="24"/>
          <w:szCs w:val="24"/>
          <w:lang w:val="en-CA"/>
        </w:rPr>
        <w:footnoteReference w:id="105"/>
      </w:r>
      <w:r w:rsidR="00EE4D20">
        <w:rPr>
          <w:rFonts w:cstheme="minorHAnsi"/>
          <w:sz w:val="24"/>
          <w:szCs w:val="24"/>
          <w:lang w:val="en-CA"/>
        </w:rPr>
        <w:t xml:space="preserve"> Basic arithmetic is</w:t>
      </w:r>
      <w:r w:rsidRPr="006A00EA">
        <w:rPr>
          <w:rFonts w:cstheme="minorHAnsi"/>
          <w:sz w:val="24"/>
          <w:szCs w:val="24"/>
          <w:lang w:val="en-CA"/>
        </w:rPr>
        <w:t xml:space="preserve">: </w:t>
      </w:r>
      <w:r w:rsidR="00CF0EAC" w:rsidRPr="006A00EA">
        <w:rPr>
          <w:rFonts w:cstheme="minorHAnsi"/>
          <w:sz w:val="24"/>
          <w:szCs w:val="24"/>
          <w:lang w:val="en-CA"/>
        </w:rPr>
        <w:t xml:space="preserve">17 – 13 = 4. Either </w:t>
      </w:r>
      <w:r w:rsidR="00CB0151" w:rsidRPr="006A00EA">
        <w:rPr>
          <w:rFonts w:cstheme="minorHAnsi"/>
          <w:sz w:val="24"/>
          <w:szCs w:val="24"/>
          <w:lang w:val="en-CA"/>
        </w:rPr>
        <w:t>Counsel</w:t>
      </w:r>
      <w:r w:rsidR="00CF0EAC" w:rsidRPr="006A00EA">
        <w:rPr>
          <w:rFonts w:cstheme="minorHAnsi"/>
          <w:sz w:val="24"/>
          <w:szCs w:val="24"/>
          <w:lang w:val="en-CA"/>
        </w:rPr>
        <w:t xml:space="preserve"> is trying to deceive the Tribunal or </w:t>
      </w:r>
      <w:r w:rsidR="00CB0151" w:rsidRPr="006A00EA">
        <w:rPr>
          <w:rFonts w:cstheme="minorHAnsi"/>
          <w:sz w:val="24"/>
          <w:szCs w:val="24"/>
          <w:lang w:val="en-CA"/>
        </w:rPr>
        <w:t>Counsel</w:t>
      </w:r>
      <w:r w:rsidR="00CF0EAC" w:rsidRPr="006A00EA">
        <w:rPr>
          <w:rFonts w:cstheme="minorHAnsi"/>
          <w:sz w:val="24"/>
          <w:szCs w:val="24"/>
          <w:lang w:val="en-CA"/>
        </w:rPr>
        <w:t xml:space="preserve"> </w:t>
      </w:r>
      <w:r w:rsidR="00EE4D20" w:rsidRPr="006A00EA">
        <w:rPr>
          <w:rFonts w:cstheme="minorHAnsi"/>
          <w:sz w:val="24"/>
          <w:szCs w:val="24"/>
          <w:lang w:val="en-CA"/>
        </w:rPr>
        <w:t xml:space="preserve">did not bother </w:t>
      </w:r>
      <w:r w:rsidR="00105E5D">
        <w:rPr>
          <w:rFonts w:cstheme="minorHAnsi"/>
          <w:sz w:val="24"/>
          <w:szCs w:val="24"/>
          <w:lang w:val="en-CA"/>
        </w:rPr>
        <w:t xml:space="preserve">to count the ratings and </w:t>
      </w:r>
      <w:r w:rsidR="00CF0EAC" w:rsidRPr="006A00EA">
        <w:rPr>
          <w:rFonts w:cstheme="minorHAnsi"/>
          <w:sz w:val="24"/>
          <w:szCs w:val="24"/>
          <w:lang w:val="en-CA"/>
        </w:rPr>
        <w:t xml:space="preserve">simply relies on </w:t>
      </w:r>
      <w:proofErr w:type="spellStart"/>
      <w:r w:rsidR="00CF0EAC" w:rsidRPr="006A00EA">
        <w:rPr>
          <w:rFonts w:cstheme="minorHAnsi"/>
          <w:sz w:val="24"/>
          <w:szCs w:val="24"/>
          <w:lang w:val="en-CA"/>
        </w:rPr>
        <w:t>Nie’s</w:t>
      </w:r>
      <w:proofErr w:type="spellEnd"/>
      <w:r w:rsidR="00CF0EAC" w:rsidRPr="006A00EA">
        <w:rPr>
          <w:rFonts w:cstheme="minorHAnsi"/>
          <w:sz w:val="24"/>
          <w:szCs w:val="24"/>
          <w:lang w:val="en-CA"/>
        </w:rPr>
        <w:t xml:space="preserve"> verbal testimony, which could be just about anything, instead of </w:t>
      </w:r>
      <w:r w:rsidR="000719BC" w:rsidRPr="006A00EA">
        <w:rPr>
          <w:rFonts w:cstheme="minorHAnsi"/>
          <w:sz w:val="24"/>
          <w:szCs w:val="24"/>
          <w:lang w:val="en-CA"/>
        </w:rPr>
        <w:t xml:space="preserve">relying on </w:t>
      </w:r>
      <w:r w:rsidR="00CF0EAC" w:rsidRPr="006A00EA">
        <w:rPr>
          <w:rFonts w:cstheme="minorHAnsi"/>
          <w:sz w:val="24"/>
          <w:szCs w:val="24"/>
          <w:lang w:val="en-CA"/>
        </w:rPr>
        <w:t>the actual, factual and irrefutable documentary evidence</w:t>
      </w:r>
      <w:r w:rsidRPr="006A00EA">
        <w:rPr>
          <w:rFonts w:cstheme="minorHAnsi"/>
          <w:sz w:val="24"/>
          <w:szCs w:val="24"/>
          <w:lang w:val="en-CA"/>
        </w:rPr>
        <w:t xml:space="preserve"> on file</w:t>
      </w:r>
      <w:r w:rsidR="00BD46CE">
        <w:rPr>
          <w:rFonts w:cstheme="minorHAnsi"/>
          <w:sz w:val="24"/>
          <w:szCs w:val="24"/>
          <w:lang w:val="en-CA"/>
        </w:rPr>
        <w:t xml:space="preserve"> and on basic math</w:t>
      </w:r>
      <w:r w:rsidR="00CF0EAC" w:rsidRPr="006A00EA">
        <w:rPr>
          <w:rFonts w:cstheme="minorHAnsi"/>
          <w:sz w:val="24"/>
          <w:szCs w:val="24"/>
          <w:lang w:val="en-CA"/>
        </w:rPr>
        <w:t xml:space="preserve">. </w:t>
      </w:r>
      <w:r w:rsidR="00BD6927" w:rsidRPr="006A00EA">
        <w:rPr>
          <w:rFonts w:cstheme="minorHAnsi"/>
          <w:sz w:val="24"/>
          <w:szCs w:val="24"/>
          <w:lang w:val="en-CA"/>
        </w:rPr>
        <w:t>As pointed out throughout this document it would appear that one felt free to say anything on the stand regardless of an oath. And these are police officers?</w:t>
      </w:r>
    </w:p>
    <w:p w:rsidR="009C74F1" w:rsidRPr="006A00EA" w:rsidRDefault="009C74F1" w:rsidP="00C94ECF">
      <w:pPr>
        <w:pStyle w:val="ListParagraph"/>
        <w:rPr>
          <w:rFonts w:cstheme="minorHAnsi"/>
          <w:sz w:val="24"/>
          <w:szCs w:val="24"/>
          <w:lang w:val="en-CA"/>
        </w:rPr>
      </w:pPr>
    </w:p>
    <w:p w:rsidR="0010160D" w:rsidRDefault="008D7983" w:rsidP="00C94ECF">
      <w:pPr>
        <w:pStyle w:val="ListParagraph"/>
        <w:numPr>
          <w:ilvl w:val="0"/>
          <w:numId w:val="2"/>
        </w:numPr>
        <w:ind w:hanging="720"/>
        <w:rPr>
          <w:rFonts w:cstheme="minorHAnsi"/>
          <w:sz w:val="24"/>
          <w:szCs w:val="24"/>
        </w:rPr>
      </w:pPr>
      <w:r w:rsidRPr="00015897">
        <w:rPr>
          <w:rFonts w:cstheme="minorHAnsi"/>
          <w:sz w:val="24"/>
          <w:szCs w:val="24"/>
        </w:rPr>
        <w:t xml:space="preserve">Had </w:t>
      </w:r>
      <w:r w:rsidR="00CB0151" w:rsidRPr="00015897">
        <w:rPr>
          <w:rFonts w:cstheme="minorHAnsi"/>
          <w:sz w:val="24"/>
          <w:szCs w:val="24"/>
        </w:rPr>
        <w:t>Counsel</w:t>
      </w:r>
      <w:r w:rsidR="007850C5" w:rsidRPr="00015897">
        <w:rPr>
          <w:rFonts w:cstheme="minorHAnsi"/>
          <w:sz w:val="24"/>
          <w:szCs w:val="24"/>
        </w:rPr>
        <w:t xml:space="preserve"> presided over</w:t>
      </w:r>
      <w:r w:rsidRPr="00015897">
        <w:rPr>
          <w:rFonts w:cstheme="minorHAnsi"/>
          <w:sz w:val="24"/>
          <w:szCs w:val="24"/>
        </w:rPr>
        <w:t xml:space="preserve"> </w:t>
      </w:r>
      <w:r w:rsidR="00A8564D" w:rsidRPr="00015897">
        <w:rPr>
          <w:rFonts w:cstheme="minorHAnsi"/>
          <w:sz w:val="24"/>
          <w:szCs w:val="24"/>
        </w:rPr>
        <w:t>the entire</w:t>
      </w:r>
      <w:r w:rsidRPr="00015897">
        <w:rPr>
          <w:rFonts w:cstheme="minorHAnsi"/>
          <w:sz w:val="24"/>
          <w:szCs w:val="24"/>
        </w:rPr>
        <w:t xml:space="preserve"> matter, the</w:t>
      </w:r>
      <w:r w:rsidR="00A8564D" w:rsidRPr="00015897">
        <w:rPr>
          <w:rFonts w:cstheme="minorHAnsi"/>
          <w:sz w:val="24"/>
          <w:szCs w:val="24"/>
        </w:rPr>
        <w:t>n</w:t>
      </w:r>
      <w:r w:rsidRPr="00015897">
        <w:rPr>
          <w:rFonts w:cstheme="minorHAnsi"/>
          <w:sz w:val="24"/>
          <w:szCs w:val="24"/>
        </w:rPr>
        <w:t xml:space="preserve"> </w:t>
      </w:r>
      <w:r w:rsidR="00CB0151" w:rsidRPr="00015897">
        <w:rPr>
          <w:rFonts w:cstheme="minorHAnsi"/>
          <w:sz w:val="24"/>
          <w:szCs w:val="24"/>
        </w:rPr>
        <w:t>Counsel</w:t>
      </w:r>
      <w:r w:rsidRPr="00015897">
        <w:rPr>
          <w:rFonts w:cstheme="minorHAnsi"/>
          <w:sz w:val="24"/>
          <w:szCs w:val="24"/>
        </w:rPr>
        <w:t xml:space="preserve"> would have been in a position to decide whose evidence is trustworthy and reliable and whose is not. However, </w:t>
      </w:r>
      <w:r w:rsidR="00CB0151" w:rsidRPr="00015897">
        <w:rPr>
          <w:rFonts w:cstheme="minorHAnsi"/>
          <w:sz w:val="24"/>
          <w:szCs w:val="24"/>
        </w:rPr>
        <w:t>Counsel</w:t>
      </w:r>
      <w:r w:rsidRPr="00015897">
        <w:rPr>
          <w:rFonts w:cstheme="minorHAnsi"/>
          <w:sz w:val="24"/>
          <w:szCs w:val="24"/>
        </w:rPr>
        <w:t xml:space="preserve"> is representing the </w:t>
      </w:r>
      <w:r w:rsidR="005F2228" w:rsidRPr="00015897">
        <w:rPr>
          <w:rFonts w:cstheme="minorHAnsi"/>
          <w:sz w:val="24"/>
          <w:szCs w:val="24"/>
        </w:rPr>
        <w:t>Respondent</w:t>
      </w:r>
      <w:r w:rsidRPr="00015897">
        <w:rPr>
          <w:rFonts w:cstheme="minorHAnsi"/>
          <w:sz w:val="24"/>
          <w:szCs w:val="24"/>
        </w:rPr>
        <w:t xml:space="preserve"> a</w:t>
      </w:r>
      <w:r w:rsidR="00015897" w:rsidRPr="00015897">
        <w:rPr>
          <w:rFonts w:cstheme="minorHAnsi"/>
          <w:sz w:val="24"/>
          <w:szCs w:val="24"/>
        </w:rPr>
        <w:t>nd to state that their witnesses’</w:t>
      </w:r>
      <w:r w:rsidRPr="00015897">
        <w:rPr>
          <w:rFonts w:cstheme="minorHAnsi"/>
          <w:sz w:val="24"/>
          <w:szCs w:val="24"/>
        </w:rPr>
        <w:t xml:space="preserve"> evidence is reliable and trustworthy is nothing short of a blasphemy. How can the </w:t>
      </w:r>
      <w:r w:rsidR="00CB0151" w:rsidRPr="00015897">
        <w:rPr>
          <w:rFonts w:cstheme="minorHAnsi"/>
          <w:sz w:val="24"/>
          <w:szCs w:val="24"/>
        </w:rPr>
        <w:t>Counsel</w:t>
      </w:r>
      <w:r w:rsidRPr="00015897">
        <w:rPr>
          <w:rFonts w:cstheme="minorHAnsi"/>
          <w:sz w:val="24"/>
          <w:szCs w:val="24"/>
        </w:rPr>
        <w:t xml:space="preserve"> even state such a thing?</w:t>
      </w:r>
      <w:r w:rsidR="00A8564D" w:rsidRPr="00015897">
        <w:rPr>
          <w:rFonts w:cstheme="minorHAnsi"/>
          <w:sz w:val="24"/>
          <w:szCs w:val="24"/>
        </w:rPr>
        <w:t xml:space="preserve"> Counsel or </w:t>
      </w:r>
      <w:r w:rsidR="008D7409" w:rsidRPr="00015897">
        <w:rPr>
          <w:rFonts w:cstheme="minorHAnsi"/>
          <w:sz w:val="24"/>
          <w:szCs w:val="24"/>
        </w:rPr>
        <w:t>(</w:t>
      </w:r>
      <w:r w:rsidR="00A8564D" w:rsidRPr="00015897">
        <w:rPr>
          <w:rFonts w:cstheme="minorHAnsi"/>
          <w:sz w:val="24"/>
          <w:szCs w:val="24"/>
        </w:rPr>
        <w:t>as the hearing revealed</w:t>
      </w:r>
      <w:r w:rsidR="008D7409" w:rsidRPr="00015897">
        <w:rPr>
          <w:rFonts w:cstheme="minorHAnsi"/>
          <w:sz w:val="24"/>
          <w:szCs w:val="24"/>
        </w:rPr>
        <w:t>)</w:t>
      </w:r>
      <w:r w:rsidR="00A8564D" w:rsidRPr="00015897">
        <w:rPr>
          <w:rFonts w:cstheme="minorHAnsi"/>
          <w:sz w:val="24"/>
          <w:szCs w:val="24"/>
        </w:rPr>
        <w:t xml:space="preserve"> someone else in </w:t>
      </w:r>
      <w:r w:rsidR="00B30CA9" w:rsidRPr="00015897">
        <w:rPr>
          <w:rFonts w:cstheme="minorHAnsi"/>
          <w:sz w:val="24"/>
          <w:szCs w:val="24"/>
        </w:rPr>
        <w:t>Counsel</w:t>
      </w:r>
      <w:r w:rsidR="00A8564D" w:rsidRPr="00015897">
        <w:rPr>
          <w:rFonts w:cstheme="minorHAnsi"/>
          <w:sz w:val="24"/>
          <w:szCs w:val="24"/>
        </w:rPr>
        <w:t xml:space="preserve">’s ministry drafted up the </w:t>
      </w:r>
      <w:r w:rsidR="007850C5" w:rsidRPr="00015897">
        <w:rPr>
          <w:rFonts w:cstheme="minorHAnsi"/>
          <w:sz w:val="24"/>
          <w:szCs w:val="24"/>
        </w:rPr>
        <w:t>Will-</w:t>
      </w:r>
      <w:r w:rsidR="005F72F9" w:rsidRPr="00015897">
        <w:rPr>
          <w:rFonts w:cstheme="minorHAnsi"/>
          <w:sz w:val="24"/>
          <w:szCs w:val="24"/>
        </w:rPr>
        <w:t xml:space="preserve">says of each of the police witnesses, active and retired. Counsel was then supposed to have the witnesses acknowledge them before submitting them for disclosure. </w:t>
      </w:r>
      <w:r w:rsidR="0010160D" w:rsidRPr="00015897">
        <w:rPr>
          <w:rFonts w:cstheme="minorHAnsi"/>
          <w:sz w:val="24"/>
          <w:szCs w:val="24"/>
        </w:rPr>
        <w:t xml:space="preserve">This </w:t>
      </w:r>
      <w:r w:rsidR="00835FB2">
        <w:rPr>
          <w:rFonts w:cstheme="minorHAnsi"/>
          <w:sz w:val="24"/>
          <w:szCs w:val="24"/>
        </w:rPr>
        <w:t>Tribunal</w:t>
      </w:r>
      <w:r w:rsidR="0010160D" w:rsidRPr="00015897">
        <w:rPr>
          <w:rFonts w:cstheme="minorHAnsi"/>
          <w:sz w:val="24"/>
          <w:szCs w:val="24"/>
        </w:rPr>
        <w:t xml:space="preserve"> had to deal with the Counsel’s lack thereof. </w:t>
      </w:r>
      <w:r w:rsidR="0010160D" w:rsidRPr="0010160D">
        <w:rPr>
          <w:rFonts w:cstheme="minorHAnsi"/>
          <w:sz w:val="24"/>
          <w:szCs w:val="24"/>
        </w:rPr>
        <w:t xml:space="preserve">Ms. Singh stated the following, </w:t>
      </w:r>
    </w:p>
    <w:p w:rsidR="0010160D" w:rsidRPr="0010160D" w:rsidRDefault="0010160D" w:rsidP="00C94ECF">
      <w:pPr>
        <w:pStyle w:val="ListParagraph"/>
        <w:ind w:left="1440"/>
        <w:rPr>
          <w:rFonts w:cstheme="minorHAnsi"/>
          <w:sz w:val="24"/>
          <w:szCs w:val="24"/>
        </w:rPr>
      </w:pPr>
      <w:r w:rsidRPr="0010160D">
        <w:rPr>
          <w:rFonts w:cstheme="minorHAnsi"/>
          <w:i/>
          <w:iCs/>
          <w:sz w:val="24"/>
          <w:szCs w:val="24"/>
        </w:rPr>
        <w:lastRenderedPageBreak/>
        <w:t xml:space="preserve">‘Mr. Vice-Chair, again, these witness summaries are not evidence. They are not in evidence.  They don't set out any evidence or testimony. They are simply prepared for the benefit, and under the </w:t>
      </w:r>
      <w:r w:rsidR="00835FB2">
        <w:rPr>
          <w:rFonts w:cstheme="minorHAnsi"/>
          <w:i/>
          <w:iCs/>
          <w:sz w:val="24"/>
          <w:szCs w:val="24"/>
        </w:rPr>
        <w:t>Tribunal</w:t>
      </w:r>
      <w:r w:rsidRPr="0010160D">
        <w:rPr>
          <w:rFonts w:cstheme="minorHAnsi"/>
          <w:i/>
          <w:iCs/>
          <w:sz w:val="24"/>
          <w:szCs w:val="24"/>
        </w:rPr>
        <w:t xml:space="preserve">'s rules, by </w:t>
      </w:r>
      <w:r w:rsidR="002F636F">
        <w:rPr>
          <w:rFonts w:cstheme="minorHAnsi"/>
          <w:i/>
          <w:iCs/>
          <w:sz w:val="24"/>
          <w:szCs w:val="24"/>
        </w:rPr>
        <w:t>Counsel</w:t>
      </w:r>
      <w:r w:rsidRPr="0010160D">
        <w:rPr>
          <w:rFonts w:cstheme="minorHAnsi"/>
          <w:i/>
          <w:iCs/>
          <w:sz w:val="24"/>
          <w:szCs w:val="24"/>
        </w:rPr>
        <w:t xml:space="preserve"> in anticipation of litigation. I don't even know, sir, whether these witnesses...what they provided, if they were interviewed or anything of the kind.’</w:t>
      </w:r>
      <w:r>
        <w:rPr>
          <w:rStyle w:val="FootnoteReference"/>
          <w:rFonts w:cstheme="minorHAnsi"/>
          <w:i/>
          <w:iCs/>
          <w:sz w:val="24"/>
          <w:szCs w:val="24"/>
        </w:rPr>
        <w:footnoteReference w:id="106"/>
      </w:r>
    </w:p>
    <w:p w:rsidR="0010160D" w:rsidRDefault="0010160D" w:rsidP="00C94ECF">
      <w:pPr>
        <w:pStyle w:val="ListParagraph"/>
        <w:rPr>
          <w:rFonts w:cstheme="minorHAnsi"/>
          <w:sz w:val="24"/>
          <w:szCs w:val="24"/>
        </w:rPr>
      </w:pPr>
    </w:p>
    <w:p w:rsidR="0010160D" w:rsidRPr="00676B43" w:rsidRDefault="00105E5D" w:rsidP="00105E5D">
      <w:pPr>
        <w:pStyle w:val="ListParagraph"/>
        <w:rPr>
          <w:rFonts w:cstheme="minorHAnsi"/>
          <w:sz w:val="24"/>
          <w:szCs w:val="24"/>
        </w:rPr>
      </w:pPr>
      <w:r>
        <w:rPr>
          <w:rFonts w:cstheme="minorHAnsi"/>
          <w:sz w:val="24"/>
          <w:szCs w:val="24"/>
        </w:rPr>
        <w:t>So, in light of these so-called</w:t>
      </w:r>
      <w:r w:rsidR="007850C5" w:rsidRPr="00015897">
        <w:rPr>
          <w:rFonts w:cstheme="minorHAnsi"/>
          <w:sz w:val="24"/>
          <w:szCs w:val="24"/>
        </w:rPr>
        <w:t xml:space="preserve"> </w:t>
      </w:r>
      <w:r w:rsidR="000E0E0C">
        <w:rPr>
          <w:rFonts w:cstheme="minorHAnsi"/>
          <w:sz w:val="24"/>
          <w:szCs w:val="24"/>
        </w:rPr>
        <w:t>w</w:t>
      </w:r>
      <w:r w:rsidR="007850C5" w:rsidRPr="00015897">
        <w:rPr>
          <w:rFonts w:cstheme="minorHAnsi"/>
          <w:sz w:val="24"/>
          <w:szCs w:val="24"/>
        </w:rPr>
        <w:t>ill-</w:t>
      </w:r>
      <w:r w:rsidR="005F72F9" w:rsidRPr="00015897">
        <w:rPr>
          <w:rFonts w:cstheme="minorHAnsi"/>
          <w:sz w:val="24"/>
          <w:szCs w:val="24"/>
        </w:rPr>
        <w:t xml:space="preserve">says one must ask who is lying? Did </w:t>
      </w:r>
      <w:r w:rsidR="00B30CA9" w:rsidRPr="00015897">
        <w:rPr>
          <w:rFonts w:cstheme="minorHAnsi"/>
          <w:sz w:val="24"/>
          <w:szCs w:val="24"/>
        </w:rPr>
        <w:t>Counsel</w:t>
      </w:r>
      <w:r w:rsidR="00984D02" w:rsidRPr="00015897">
        <w:rPr>
          <w:rFonts w:cstheme="minorHAnsi"/>
          <w:sz w:val="24"/>
          <w:szCs w:val="24"/>
        </w:rPr>
        <w:t xml:space="preserve"> attempt to mislead this T</w:t>
      </w:r>
      <w:r w:rsidR="005F72F9" w:rsidRPr="00015897">
        <w:rPr>
          <w:rFonts w:cstheme="minorHAnsi"/>
          <w:sz w:val="24"/>
          <w:szCs w:val="24"/>
        </w:rPr>
        <w:t xml:space="preserve">ribunal by </w:t>
      </w:r>
      <w:r>
        <w:rPr>
          <w:rFonts w:cstheme="minorHAnsi"/>
          <w:sz w:val="24"/>
          <w:szCs w:val="24"/>
        </w:rPr>
        <w:t>having the</w:t>
      </w:r>
      <w:r w:rsidR="00EC54D7" w:rsidRPr="00015897">
        <w:rPr>
          <w:rFonts w:cstheme="minorHAnsi"/>
          <w:sz w:val="24"/>
          <w:szCs w:val="24"/>
        </w:rPr>
        <w:t xml:space="preserve">se </w:t>
      </w:r>
      <w:r w:rsidR="000E0E0C">
        <w:rPr>
          <w:rFonts w:cstheme="minorHAnsi"/>
          <w:sz w:val="24"/>
          <w:szCs w:val="24"/>
        </w:rPr>
        <w:t>w</w:t>
      </w:r>
      <w:r w:rsidR="008D7409" w:rsidRPr="00015897">
        <w:rPr>
          <w:rFonts w:cstheme="minorHAnsi"/>
          <w:sz w:val="24"/>
          <w:szCs w:val="24"/>
        </w:rPr>
        <w:t xml:space="preserve">ill-says </w:t>
      </w:r>
      <w:r w:rsidR="00EC54D7" w:rsidRPr="00015897">
        <w:rPr>
          <w:rFonts w:cstheme="minorHAnsi"/>
          <w:sz w:val="24"/>
          <w:szCs w:val="24"/>
        </w:rPr>
        <w:t>drafted contrary to the testimony of the witnesses or did the w</w:t>
      </w:r>
      <w:r w:rsidR="007850C5" w:rsidRPr="00015897">
        <w:rPr>
          <w:rFonts w:cstheme="minorHAnsi"/>
          <w:sz w:val="24"/>
          <w:szCs w:val="24"/>
        </w:rPr>
        <w:t xml:space="preserve">itnesses lie in their original </w:t>
      </w:r>
      <w:r w:rsidR="000E0E0C">
        <w:rPr>
          <w:rFonts w:cstheme="minorHAnsi"/>
          <w:sz w:val="24"/>
          <w:szCs w:val="24"/>
        </w:rPr>
        <w:t>w</w:t>
      </w:r>
      <w:r w:rsidR="00EC54D7" w:rsidRPr="00015897">
        <w:rPr>
          <w:rFonts w:cstheme="minorHAnsi"/>
          <w:sz w:val="24"/>
          <w:szCs w:val="24"/>
        </w:rPr>
        <w:t>ill</w:t>
      </w:r>
      <w:r w:rsidR="008D7409" w:rsidRPr="00015897">
        <w:rPr>
          <w:rFonts w:cstheme="minorHAnsi"/>
          <w:sz w:val="24"/>
          <w:szCs w:val="24"/>
        </w:rPr>
        <w:t>-</w:t>
      </w:r>
      <w:r w:rsidR="00EC54D7" w:rsidRPr="00015897">
        <w:rPr>
          <w:rFonts w:cstheme="minorHAnsi"/>
          <w:sz w:val="24"/>
          <w:szCs w:val="24"/>
        </w:rPr>
        <w:t xml:space="preserve">says to </w:t>
      </w:r>
      <w:r w:rsidR="00B30CA9" w:rsidRPr="00015897">
        <w:rPr>
          <w:rFonts w:cstheme="minorHAnsi"/>
          <w:sz w:val="24"/>
          <w:szCs w:val="24"/>
        </w:rPr>
        <w:t>Counsel</w:t>
      </w:r>
      <w:r w:rsidR="00EC54D7" w:rsidRPr="00015897">
        <w:rPr>
          <w:rFonts w:cstheme="minorHAnsi"/>
          <w:sz w:val="24"/>
          <w:szCs w:val="24"/>
        </w:rPr>
        <w:t xml:space="preserve"> (which the </w:t>
      </w:r>
      <w:r w:rsidR="00902709">
        <w:rPr>
          <w:rFonts w:cstheme="minorHAnsi"/>
          <w:sz w:val="24"/>
          <w:szCs w:val="24"/>
        </w:rPr>
        <w:t>Applicant</w:t>
      </w:r>
      <w:r w:rsidR="00EC54D7" w:rsidRPr="00015897">
        <w:rPr>
          <w:rFonts w:cstheme="minorHAnsi"/>
          <w:sz w:val="24"/>
          <w:szCs w:val="24"/>
        </w:rPr>
        <w:t xml:space="preserve"> was never shared a copy of) and thereby caused </w:t>
      </w:r>
      <w:r w:rsidR="00B30CA9" w:rsidRPr="00015897">
        <w:rPr>
          <w:rFonts w:cstheme="minorHAnsi"/>
          <w:sz w:val="24"/>
          <w:szCs w:val="24"/>
        </w:rPr>
        <w:t>Counsel</w:t>
      </w:r>
      <w:r w:rsidR="007850C5" w:rsidRPr="00015897">
        <w:rPr>
          <w:rFonts w:cstheme="minorHAnsi"/>
          <w:sz w:val="24"/>
          <w:szCs w:val="24"/>
        </w:rPr>
        <w:t xml:space="preserve"> to innocently draft those </w:t>
      </w:r>
      <w:r w:rsidR="000E0E0C">
        <w:rPr>
          <w:rFonts w:cstheme="minorHAnsi"/>
          <w:sz w:val="24"/>
          <w:szCs w:val="24"/>
        </w:rPr>
        <w:t>w</w:t>
      </w:r>
      <w:r w:rsidR="007850C5" w:rsidRPr="00015897">
        <w:rPr>
          <w:rFonts w:cstheme="minorHAnsi"/>
          <w:sz w:val="24"/>
          <w:szCs w:val="24"/>
        </w:rPr>
        <w:t>ill-</w:t>
      </w:r>
      <w:r w:rsidR="00EC54D7" w:rsidRPr="00015897">
        <w:rPr>
          <w:rFonts w:cstheme="minorHAnsi"/>
          <w:sz w:val="24"/>
          <w:szCs w:val="24"/>
        </w:rPr>
        <w:t>says?</w:t>
      </w:r>
      <w:r w:rsidR="00EE4D20">
        <w:rPr>
          <w:rFonts w:cstheme="minorHAnsi"/>
          <w:sz w:val="24"/>
          <w:szCs w:val="24"/>
        </w:rPr>
        <w:t xml:space="preserve"> </w:t>
      </w:r>
      <w:r w:rsidR="00676B43">
        <w:rPr>
          <w:rFonts w:cstheme="minorHAnsi"/>
          <w:sz w:val="24"/>
          <w:szCs w:val="24"/>
        </w:rPr>
        <w:t xml:space="preserve">Constable Moran testified very sharply that she did not write the </w:t>
      </w:r>
      <w:r w:rsidR="000E0E0C">
        <w:rPr>
          <w:rFonts w:cstheme="minorHAnsi"/>
          <w:sz w:val="24"/>
          <w:szCs w:val="24"/>
        </w:rPr>
        <w:t>w</w:t>
      </w:r>
      <w:r w:rsidR="00676B43">
        <w:rPr>
          <w:rFonts w:cstheme="minorHAnsi"/>
          <w:sz w:val="24"/>
          <w:szCs w:val="24"/>
        </w:rPr>
        <w:t xml:space="preserve">itness </w:t>
      </w:r>
      <w:r w:rsidR="000E0E0C">
        <w:rPr>
          <w:rFonts w:cstheme="minorHAnsi"/>
          <w:sz w:val="24"/>
          <w:szCs w:val="24"/>
        </w:rPr>
        <w:t>s</w:t>
      </w:r>
      <w:r w:rsidR="00676B43">
        <w:rPr>
          <w:rFonts w:cstheme="minorHAnsi"/>
          <w:sz w:val="24"/>
          <w:szCs w:val="24"/>
        </w:rPr>
        <w:t xml:space="preserve">ummary that had her name on it, that she did not know who wrote it </w:t>
      </w:r>
      <w:r>
        <w:rPr>
          <w:rFonts w:cstheme="minorHAnsi"/>
          <w:sz w:val="24"/>
          <w:szCs w:val="24"/>
        </w:rPr>
        <w:t xml:space="preserve">and that it was simply </w:t>
      </w:r>
      <w:r w:rsidR="00676B43">
        <w:rPr>
          <w:rFonts w:cstheme="minorHAnsi"/>
          <w:sz w:val="24"/>
          <w:szCs w:val="24"/>
        </w:rPr>
        <w:t>was provided to her.</w:t>
      </w:r>
      <w:r w:rsidR="00676B43">
        <w:rPr>
          <w:rStyle w:val="FootnoteReference"/>
          <w:rFonts w:cstheme="minorHAnsi"/>
          <w:sz w:val="24"/>
          <w:szCs w:val="24"/>
        </w:rPr>
        <w:footnoteReference w:id="107"/>
      </w:r>
      <w:r w:rsidR="00676B43">
        <w:rPr>
          <w:rFonts w:cstheme="minorHAnsi"/>
          <w:sz w:val="24"/>
          <w:szCs w:val="24"/>
        </w:rPr>
        <w:t xml:space="preserve"> </w:t>
      </w:r>
      <w:r w:rsidR="00EE4D20" w:rsidRPr="00676B43">
        <w:rPr>
          <w:rFonts w:cstheme="minorHAnsi"/>
          <w:sz w:val="24"/>
          <w:szCs w:val="24"/>
        </w:rPr>
        <w:t xml:space="preserve">Regardless of the truth, the </w:t>
      </w:r>
      <w:r w:rsidR="00676B43">
        <w:rPr>
          <w:rFonts w:cstheme="minorHAnsi"/>
          <w:sz w:val="24"/>
          <w:szCs w:val="24"/>
        </w:rPr>
        <w:t xml:space="preserve">lack of </w:t>
      </w:r>
      <w:r w:rsidR="00EE4D20" w:rsidRPr="00676B43">
        <w:rPr>
          <w:rFonts w:cstheme="minorHAnsi"/>
          <w:sz w:val="24"/>
          <w:szCs w:val="24"/>
        </w:rPr>
        <w:t xml:space="preserve">credibility and reliability of those </w:t>
      </w:r>
      <w:r w:rsidR="000E0E0C">
        <w:rPr>
          <w:rFonts w:cstheme="minorHAnsi"/>
          <w:sz w:val="24"/>
          <w:szCs w:val="24"/>
        </w:rPr>
        <w:t>w</w:t>
      </w:r>
      <w:r w:rsidR="00EE4D20" w:rsidRPr="00676B43">
        <w:rPr>
          <w:rFonts w:cstheme="minorHAnsi"/>
          <w:sz w:val="24"/>
          <w:szCs w:val="24"/>
        </w:rPr>
        <w:t xml:space="preserve">ill-says were summed up by </w:t>
      </w:r>
      <w:r w:rsidR="00015897" w:rsidRPr="00676B43">
        <w:rPr>
          <w:rFonts w:cstheme="minorHAnsi"/>
          <w:sz w:val="24"/>
          <w:szCs w:val="24"/>
        </w:rPr>
        <w:t>Mr. Vice Chair</w:t>
      </w:r>
      <w:r w:rsidR="00EE4D20" w:rsidRPr="00676B43">
        <w:rPr>
          <w:rFonts w:cstheme="minorHAnsi"/>
          <w:sz w:val="24"/>
          <w:szCs w:val="24"/>
        </w:rPr>
        <w:t>:</w:t>
      </w:r>
      <w:r w:rsidR="00015897" w:rsidRPr="00676B43">
        <w:rPr>
          <w:rFonts w:cstheme="minorHAnsi"/>
          <w:sz w:val="24"/>
          <w:szCs w:val="24"/>
        </w:rPr>
        <w:t xml:space="preserve"> </w:t>
      </w:r>
    </w:p>
    <w:p w:rsidR="0010160D" w:rsidRDefault="0010160D" w:rsidP="00C94ECF">
      <w:pPr>
        <w:pStyle w:val="ListParagraph"/>
        <w:ind w:firstLine="720"/>
        <w:rPr>
          <w:rFonts w:cstheme="minorHAnsi"/>
          <w:sz w:val="24"/>
          <w:szCs w:val="24"/>
        </w:rPr>
      </w:pPr>
    </w:p>
    <w:p w:rsidR="00EC4CBD" w:rsidRPr="0010160D" w:rsidRDefault="00015897" w:rsidP="00C94ECF">
      <w:pPr>
        <w:pStyle w:val="ListParagraph"/>
        <w:ind w:left="1440"/>
        <w:rPr>
          <w:rFonts w:cstheme="minorHAnsi"/>
          <w:sz w:val="24"/>
          <w:szCs w:val="24"/>
        </w:rPr>
      </w:pPr>
      <w:r w:rsidRPr="0010160D">
        <w:rPr>
          <w:rFonts w:cstheme="minorHAnsi"/>
          <w:i/>
          <w:iCs/>
          <w:sz w:val="24"/>
          <w:szCs w:val="24"/>
        </w:rPr>
        <w:t>‘</w:t>
      </w:r>
      <w:r w:rsidR="0010160D" w:rsidRPr="0010160D">
        <w:rPr>
          <w:rFonts w:cstheme="minorHAnsi"/>
          <w:i/>
          <w:iCs/>
          <w:sz w:val="24"/>
          <w:szCs w:val="24"/>
        </w:rPr>
        <w:t xml:space="preserve">I have had difficulty with these witness statements since day one.  Typically they're prepared, or at least agreed to by the witness before they are even tendered. The purpose of these statements is not only for the </w:t>
      </w:r>
      <w:r w:rsidR="00A40F7A">
        <w:rPr>
          <w:rFonts w:cstheme="minorHAnsi"/>
          <w:i/>
          <w:iCs/>
          <w:sz w:val="24"/>
          <w:szCs w:val="24"/>
        </w:rPr>
        <w:t>Respondent</w:t>
      </w:r>
      <w:r w:rsidR="0010160D" w:rsidRPr="0010160D">
        <w:rPr>
          <w:rFonts w:cstheme="minorHAnsi"/>
          <w:i/>
          <w:iCs/>
          <w:sz w:val="24"/>
          <w:szCs w:val="24"/>
        </w:rPr>
        <w:t xml:space="preserve"> to understand what the witness is going to...it's for me as well. </w:t>
      </w:r>
      <w:r w:rsidRPr="0010160D">
        <w:rPr>
          <w:rFonts w:cstheme="minorHAnsi"/>
          <w:i/>
          <w:iCs/>
          <w:sz w:val="24"/>
          <w:szCs w:val="24"/>
        </w:rPr>
        <w:t>It is not unusual for a vice-chair to put the witness statement in front of the witness and ask the witness if this is true... w</w:t>
      </w:r>
      <w:r w:rsidR="005958FF">
        <w:rPr>
          <w:rFonts w:cstheme="minorHAnsi"/>
          <w:i/>
          <w:iCs/>
          <w:sz w:val="24"/>
          <w:szCs w:val="24"/>
        </w:rPr>
        <w:t xml:space="preserve">hich then </w:t>
      </w:r>
      <w:proofErr w:type="gramStart"/>
      <w:r w:rsidRPr="0010160D">
        <w:rPr>
          <w:rFonts w:cstheme="minorHAnsi"/>
          <w:i/>
          <w:iCs/>
          <w:sz w:val="24"/>
          <w:szCs w:val="24"/>
        </w:rPr>
        <w:t>becomes evidence</w:t>
      </w:r>
      <w:proofErr w:type="gramEnd"/>
      <w:r w:rsidRPr="0010160D">
        <w:rPr>
          <w:rFonts w:cstheme="minorHAnsi"/>
          <w:i/>
          <w:iCs/>
          <w:sz w:val="24"/>
          <w:szCs w:val="24"/>
        </w:rPr>
        <w:t xml:space="preserve">. I'm precluded from doing that with this. So its value, in my view, is minimal. It poses problems for the </w:t>
      </w:r>
      <w:r w:rsidR="00A40F7A">
        <w:rPr>
          <w:rFonts w:cstheme="minorHAnsi"/>
          <w:i/>
          <w:iCs/>
          <w:sz w:val="24"/>
          <w:szCs w:val="24"/>
        </w:rPr>
        <w:t>Respondent</w:t>
      </w:r>
      <w:r w:rsidRPr="0010160D">
        <w:rPr>
          <w:rFonts w:cstheme="minorHAnsi"/>
          <w:i/>
          <w:iCs/>
          <w:sz w:val="24"/>
          <w:szCs w:val="24"/>
        </w:rPr>
        <w:t>.</w:t>
      </w:r>
      <w:r w:rsidRPr="0010160D">
        <w:rPr>
          <w:rFonts w:cstheme="minorHAnsi"/>
          <w:sz w:val="24"/>
          <w:szCs w:val="24"/>
        </w:rPr>
        <w:t>’</w:t>
      </w:r>
      <w:r w:rsidR="00EC54D7">
        <w:rPr>
          <w:rStyle w:val="FootnoteReference"/>
          <w:rFonts w:cstheme="minorHAnsi"/>
          <w:sz w:val="24"/>
          <w:szCs w:val="24"/>
        </w:rPr>
        <w:footnoteReference w:id="108"/>
      </w:r>
    </w:p>
    <w:p w:rsidR="00015897" w:rsidRPr="008B789A" w:rsidRDefault="00015897" w:rsidP="00C94ECF">
      <w:pPr>
        <w:pStyle w:val="ListParagraph"/>
        <w:rPr>
          <w:rFonts w:cstheme="minorHAnsi"/>
          <w:sz w:val="24"/>
          <w:szCs w:val="24"/>
        </w:rPr>
      </w:pPr>
    </w:p>
    <w:p w:rsidR="00090551" w:rsidRPr="008B789A" w:rsidRDefault="00090551" w:rsidP="00C94ECF">
      <w:pPr>
        <w:pStyle w:val="ListParagraph"/>
        <w:numPr>
          <w:ilvl w:val="0"/>
          <w:numId w:val="2"/>
        </w:numPr>
        <w:ind w:hanging="720"/>
        <w:rPr>
          <w:rFonts w:cstheme="minorHAnsi"/>
          <w:sz w:val="24"/>
          <w:szCs w:val="24"/>
        </w:rPr>
      </w:pPr>
      <w:r w:rsidRPr="008B789A">
        <w:rPr>
          <w:rFonts w:cstheme="minorHAnsi"/>
          <w:sz w:val="24"/>
          <w:szCs w:val="24"/>
        </w:rPr>
        <w:t xml:space="preserve">Throughout this hearing the </w:t>
      </w:r>
      <w:r w:rsidR="00902709">
        <w:rPr>
          <w:rFonts w:cstheme="minorHAnsi"/>
          <w:sz w:val="24"/>
          <w:szCs w:val="24"/>
        </w:rPr>
        <w:t>Applicant</w:t>
      </w:r>
      <w:r w:rsidRPr="008B789A">
        <w:rPr>
          <w:rFonts w:cstheme="minorHAnsi"/>
          <w:sz w:val="24"/>
          <w:szCs w:val="24"/>
        </w:rPr>
        <w:t xml:space="preserve"> has been deprived of a truthful version of those </w:t>
      </w:r>
      <w:r w:rsidR="000E0E0C">
        <w:rPr>
          <w:rFonts w:cstheme="minorHAnsi"/>
          <w:sz w:val="24"/>
          <w:szCs w:val="24"/>
        </w:rPr>
        <w:t>w</w:t>
      </w:r>
      <w:r w:rsidR="008D7409" w:rsidRPr="008B789A">
        <w:rPr>
          <w:rFonts w:cstheme="minorHAnsi"/>
          <w:sz w:val="24"/>
          <w:szCs w:val="24"/>
        </w:rPr>
        <w:t>ill-says</w:t>
      </w:r>
      <w:r w:rsidR="008B789A" w:rsidRPr="008B789A">
        <w:rPr>
          <w:rFonts w:cstheme="minorHAnsi"/>
          <w:sz w:val="24"/>
          <w:szCs w:val="24"/>
        </w:rPr>
        <w:t xml:space="preserve"> (</w:t>
      </w:r>
      <w:r w:rsidR="000E0E0C">
        <w:rPr>
          <w:rFonts w:cstheme="minorHAnsi"/>
          <w:sz w:val="24"/>
          <w:szCs w:val="24"/>
        </w:rPr>
        <w:t>w</w:t>
      </w:r>
      <w:r w:rsidR="008B789A" w:rsidRPr="008B789A">
        <w:rPr>
          <w:rFonts w:cstheme="minorHAnsi"/>
          <w:sz w:val="24"/>
          <w:szCs w:val="24"/>
        </w:rPr>
        <w:t xml:space="preserve">itness </w:t>
      </w:r>
      <w:r w:rsidR="000E0E0C">
        <w:rPr>
          <w:rFonts w:cstheme="minorHAnsi"/>
          <w:sz w:val="24"/>
          <w:szCs w:val="24"/>
        </w:rPr>
        <w:t>s</w:t>
      </w:r>
      <w:r w:rsidR="008B789A" w:rsidRPr="008B789A">
        <w:rPr>
          <w:rFonts w:cstheme="minorHAnsi"/>
          <w:sz w:val="24"/>
          <w:szCs w:val="24"/>
        </w:rPr>
        <w:t>ummaries).</w:t>
      </w:r>
      <w:r w:rsidRPr="008B789A">
        <w:rPr>
          <w:rFonts w:cstheme="minorHAnsi"/>
          <w:sz w:val="24"/>
          <w:szCs w:val="24"/>
        </w:rPr>
        <w:t xml:space="preserve"> Is this something that would bring the administration of justice into disrepute? The </w:t>
      </w:r>
      <w:r w:rsidR="00902709">
        <w:rPr>
          <w:rFonts w:cstheme="minorHAnsi"/>
          <w:sz w:val="24"/>
          <w:szCs w:val="24"/>
        </w:rPr>
        <w:t>Applicant</w:t>
      </w:r>
      <w:r w:rsidRPr="008B789A">
        <w:rPr>
          <w:rFonts w:cstheme="minorHAnsi"/>
          <w:sz w:val="24"/>
          <w:szCs w:val="24"/>
        </w:rPr>
        <w:t xml:space="preserve"> is in no position </w:t>
      </w:r>
      <w:r w:rsidR="0010267F" w:rsidRPr="008B789A">
        <w:rPr>
          <w:rFonts w:cstheme="minorHAnsi"/>
          <w:sz w:val="24"/>
          <w:szCs w:val="24"/>
        </w:rPr>
        <w:t xml:space="preserve">to </w:t>
      </w:r>
      <w:r w:rsidRPr="008B789A">
        <w:rPr>
          <w:rFonts w:cstheme="minorHAnsi"/>
          <w:sz w:val="24"/>
          <w:szCs w:val="24"/>
        </w:rPr>
        <w:t>state this</w:t>
      </w:r>
      <w:r w:rsidR="008B789A">
        <w:rPr>
          <w:rFonts w:cstheme="minorHAnsi"/>
          <w:sz w:val="24"/>
          <w:szCs w:val="24"/>
        </w:rPr>
        <w:t>,</w:t>
      </w:r>
      <w:r w:rsidRPr="008B789A">
        <w:rPr>
          <w:rFonts w:cstheme="minorHAnsi"/>
          <w:sz w:val="24"/>
          <w:szCs w:val="24"/>
        </w:rPr>
        <w:t xml:space="preserve"> but only ask</w:t>
      </w:r>
      <w:r w:rsidR="008B789A" w:rsidRPr="008B789A">
        <w:rPr>
          <w:rFonts w:cstheme="minorHAnsi"/>
          <w:sz w:val="24"/>
          <w:szCs w:val="24"/>
        </w:rPr>
        <w:t>s</w:t>
      </w:r>
      <w:r w:rsidRPr="008B789A">
        <w:rPr>
          <w:rFonts w:cstheme="minorHAnsi"/>
          <w:sz w:val="24"/>
          <w:szCs w:val="24"/>
        </w:rPr>
        <w:t xml:space="preserve"> it due to the fact that he and his representative are ordinary citizens with no legal qualifications – ordinary citizens seeking justice. </w:t>
      </w:r>
    </w:p>
    <w:p w:rsidR="00DC316F" w:rsidRPr="00DC316F" w:rsidRDefault="00DC316F" w:rsidP="00C94ECF">
      <w:pPr>
        <w:pStyle w:val="ListParagraph"/>
        <w:rPr>
          <w:rFonts w:cstheme="minorHAnsi"/>
          <w:sz w:val="24"/>
          <w:szCs w:val="24"/>
        </w:rPr>
      </w:pPr>
    </w:p>
    <w:p w:rsidR="001B3A5B" w:rsidRPr="001B3A5B" w:rsidRDefault="00C54F12" w:rsidP="00C94ECF">
      <w:pPr>
        <w:pStyle w:val="ListParagraph"/>
        <w:numPr>
          <w:ilvl w:val="0"/>
          <w:numId w:val="2"/>
        </w:numPr>
        <w:ind w:hanging="720"/>
        <w:rPr>
          <w:rFonts w:cstheme="minorHAnsi"/>
          <w:sz w:val="24"/>
          <w:szCs w:val="24"/>
        </w:rPr>
      </w:pPr>
      <w:r>
        <w:rPr>
          <w:rFonts w:cstheme="minorHAnsi"/>
          <w:sz w:val="24"/>
          <w:szCs w:val="24"/>
        </w:rPr>
        <w:t xml:space="preserve">Noteworthy </w:t>
      </w:r>
      <w:r w:rsidR="00DC316F">
        <w:rPr>
          <w:rFonts w:cstheme="minorHAnsi"/>
          <w:sz w:val="24"/>
          <w:szCs w:val="24"/>
        </w:rPr>
        <w:t xml:space="preserve">is </w:t>
      </w:r>
      <w:r>
        <w:rPr>
          <w:rFonts w:cstheme="minorHAnsi"/>
          <w:sz w:val="24"/>
          <w:szCs w:val="24"/>
        </w:rPr>
        <w:t xml:space="preserve">the rise in negative ratings to the point where the </w:t>
      </w:r>
      <w:r w:rsidR="00902709">
        <w:rPr>
          <w:rFonts w:cstheme="minorHAnsi"/>
          <w:sz w:val="24"/>
          <w:szCs w:val="24"/>
        </w:rPr>
        <w:t>Applicant</w:t>
      </w:r>
      <w:r>
        <w:rPr>
          <w:rFonts w:cstheme="minorHAnsi"/>
          <w:sz w:val="24"/>
          <w:szCs w:val="24"/>
        </w:rPr>
        <w:t xml:space="preserve"> </w:t>
      </w:r>
      <w:r w:rsidR="00835FB2">
        <w:rPr>
          <w:rFonts w:cstheme="minorHAnsi"/>
          <w:sz w:val="24"/>
          <w:szCs w:val="24"/>
        </w:rPr>
        <w:t>realized</w:t>
      </w:r>
      <w:r>
        <w:rPr>
          <w:rFonts w:cstheme="minorHAnsi"/>
          <w:sz w:val="24"/>
          <w:szCs w:val="24"/>
        </w:rPr>
        <w:t xml:space="preserve"> that it was pointless to object or pro</w:t>
      </w:r>
      <w:r w:rsidR="0010267F">
        <w:rPr>
          <w:rFonts w:cstheme="minorHAnsi"/>
          <w:sz w:val="24"/>
          <w:szCs w:val="24"/>
        </w:rPr>
        <w:t>v</w:t>
      </w:r>
      <w:r>
        <w:rPr>
          <w:rFonts w:cstheme="minorHAnsi"/>
          <w:sz w:val="24"/>
          <w:szCs w:val="24"/>
        </w:rPr>
        <w:t xml:space="preserve">ide any rebuttals. </w:t>
      </w:r>
      <w:r w:rsidR="00902709">
        <w:rPr>
          <w:rFonts w:cstheme="minorHAnsi"/>
          <w:sz w:val="24"/>
          <w:szCs w:val="24"/>
        </w:rPr>
        <w:t>Applicant</w:t>
      </w:r>
      <w:r w:rsidR="00835FB2">
        <w:rPr>
          <w:rFonts w:cstheme="minorHAnsi"/>
          <w:sz w:val="24"/>
          <w:szCs w:val="24"/>
        </w:rPr>
        <w:t>’s</w:t>
      </w:r>
      <w:r>
        <w:rPr>
          <w:rFonts w:cstheme="minorHAnsi"/>
          <w:sz w:val="24"/>
          <w:szCs w:val="24"/>
        </w:rPr>
        <w:t xml:space="preserve"> testimony revealed that when he first voiced his objections</w:t>
      </w:r>
      <w:r w:rsidR="0010267F">
        <w:rPr>
          <w:rFonts w:cstheme="minorHAnsi"/>
          <w:sz w:val="24"/>
          <w:szCs w:val="24"/>
        </w:rPr>
        <w:t>,</w:t>
      </w:r>
      <w:r>
        <w:rPr>
          <w:rFonts w:cstheme="minorHAnsi"/>
          <w:sz w:val="24"/>
          <w:szCs w:val="24"/>
        </w:rPr>
        <w:t xml:space="preserve"> his PER</w:t>
      </w:r>
      <w:r w:rsidR="0010267F">
        <w:rPr>
          <w:rFonts w:cstheme="minorHAnsi"/>
          <w:sz w:val="24"/>
          <w:szCs w:val="24"/>
        </w:rPr>
        <w:t>s</w:t>
      </w:r>
      <w:r>
        <w:rPr>
          <w:rFonts w:cstheme="minorHAnsi"/>
          <w:sz w:val="24"/>
          <w:szCs w:val="24"/>
        </w:rPr>
        <w:t xml:space="preserve"> went from </w:t>
      </w:r>
      <w:r w:rsidR="00835FB2">
        <w:rPr>
          <w:rFonts w:cstheme="minorHAnsi"/>
          <w:sz w:val="24"/>
          <w:szCs w:val="24"/>
        </w:rPr>
        <w:t>0</w:t>
      </w:r>
      <w:r>
        <w:rPr>
          <w:rFonts w:cstheme="minorHAnsi"/>
          <w:sz w:val="24"/>
          <w:szCs w:val="24"/>
        </w:rPr>
        <w:t xml:space="preserve"> negative ratings in </w:t>
      </w:r>
      <w:r w:rsidR="00835FB2">
        <w:rPr>
          <w:rFonts w:cstheme="minorHAnsi"/>
          <w:sz w:val="24"/>
          <w:szCs w:val="24"/>
        </w:rPr>
        <w:t xml:space="preserve">PERs for </w:t>
      </w:r>
      <w:r w:rsidR="00E11099">
        <w:rPr>
          <w:rFonts w:cstheme="minorHAnsi"/>
          <w:sz w:val="24"/>
          <w:szCs w:val="24"/>
        </w:rPr>
        <w:t>months 3-</w:t>
      </w:r>
      <w:r>
        <w:rPr>
          <w:rFonts w:cstheme="minorHAnsi"/>
          <w:sz w:val="24"/>
          <w:szCs w:val="24"/>
        </w:rPr>
        <w:t xml:space="preserve">5 to 10 </w:t>
      </w:r>
      <w:r w:rsidR="00835FB2">
        <w:rPr>
          <w:rFonts w:cstheme="minorHAnsi"/>
          <w:sz w:val="24"/>
          <w:szCs w:val="24"/>
        </w:rPr>
        <w:t>negative ratings</w:t>
      </w:r>
      <w:r w:rsidR="0010267F">
        <w:rPr>
          <w:rFonts w:cstheme="minorHAnsi"/>
          <w:sz w:val="24"/>
          <w:szCs w:val="24"/>
        </w:rPr>
        <w:t xml:space="preserve"> </w:t>
      </w:r>
      <w:r>
        <w:rPr>
          <w:rFonts w:cstheme="minorHAnsi"/>
          <w:sz w:val="24"/>
          <w:szCs w:val="24"/>
        </w:rPr>
        <w:t xml:space="preserve">in </w:t>
      </w:r>
      <w:r w:rsidR="00835FB2">
        <w:rPr>
          <w:rFonts w:cstheme="minorHAnsi"/>
          <w:sz w:val="24"/>
          <w:szCs w:val="24"/>
        </w:rPr>
        <w:t xml:space="preserve">PER for </w:t>
      </w:r>
      <w:r>
        <w:rPr>
          <w:rFonts w:cstheme="minorHAnsi"/>
          <w:sz w:val="24"/>
          <w:szCs w:val="24"/>
        </w:rPr>
        <w:t>month</w:t>
      </w:r>
      <w:r w:rsidR="00835FB2">
        <w:rPr>
          <w:rFonts w:cstheme="minorHAnsi"/>
          <w:sz w:val="24"/>
          <w:szCs w:val="24"/>
        </w:rPr>
        <w:t>s 6/</w:t>
      </w:r>
      <w:r>
        <w:rPr>
          <w:rFonts w:cstheme="minorHAnsi"/>
          <w:sz w:val="24"/>
          <w:szCs w:val="24"/>
        </w:rPr>
        <w:t xml:space="preserve">7. </w:t>
      </w:r>
      <w:r w:rsidR="00902709">
        <w:rPr>
          <w:rFonts w:cstheme="minorHAnsi"/>
          <w:sz w:val="24"/>
          <w:szCs w:val="24"/>
        </w:rPr>
        <w:t>Applicant</w:t>
      </w:r>
      <w:r>
        <w:rPr>
          <w:rFonts w:cstheme="minorHAnsi"/>
          <w:sz w:val="24"/>
          <w:szCs w:val="24"/>
        </w:rPr>
        <w:t xml:space="preserve"> </w:t>
      </w:r>
      <w:r w:rsidR="00835FB2">
        <w:rPr>
          <w:rFonts w:cstheme="minorHAnsi"/>
          <w:sz w:val="24"/>
          <w:szCs w:val="24"/>
        </w:rPr>
        <w:t xml:space="preserve">asks for time to read through </w:t>
      </w:r>
      <w:r>
        <w:rPr>
          <w:rFonts w:cstheme="minorHAnsi"/>
          <w:sz w:val="24"/>
          <w:szCs w:val="24"/>
        </w:rPr>
        <w:t>PER</w:t>
      </w:r>
      <w:r w:rsidR="00835FB2">
        <w:rPr>
          <w:rFonts w:cstheme="minorHAnsi"/>
          <w:sz w:val="24"/>
          <w:szCs w:val="24"/>
        </w:rPr>
        <w:t xml:space="preserve"> 6/7 carefully</w:t>
      </w:r>
      <w:r>
        <w:rPr>
          <w:rFonts w:cstheme="minorHAnsi"/>
          <w:sz w:val="24"/>
          <w:szCs w:val="24"/>
        </w:rPr>
        <w:t xml:space="preserve">, consult with an OPPA representative and provide a rebuttal </w:t>
      </w:r>
      <w:r w:rsidR="00835FB2">
        <w:rPr>
          <w:rFonts w:cstheme="minorHAnsi"/>
          <w:sz w:val="24"/>
          <w:szCs w:val="24"/>
        </w:rPr>
        <w:t xml:space="preserve">to it prior to signing it </w:t>
      </w:r>
      <w:r>
        <w:rPr>
          <w:rFonts w:cstheme="minorHAnsi"/>
          <w:sz w:val="24"/>
          <w:szCs w:val="24"/>
        </w:rPr>
        <w:t xml:space="preserve">and when </w:t>
      </w:r>
      <w:r w:rsidR="00835FB2">
        <w:rPr>
          <w:rFonts w:cstheme="minorHAnsi"/>
          <w:sz w:val="24"/>
          <w:szCs w:val="24"/>
        </w:rPr>
        <w:t xml:space="preserve">he </w:t>
      </w:r>
      <w:r>
        <w:rPr>
          <w:rFonts w:cstheme="minorHAnsi"/>
          <w:sz w:val="24"/>
          <w:szCs w:val="24"/>
        </w:rPr>
        <w:t>does so</w:t>
      </w:r>
      <w:r w:rsidR="00502949">
        <w:rPr>
          <w:rFonts w:cstheme="minorHAnsi"/>
          <w:sz w:val="24"/>
          <w:szCs w:val="24"/>
        </w:rPr>
        <w:t>,</w:t>
      </w:r>
      <w:r>
        <w:rPr>
          <w:rFonts w:cstheme="minorHAnsi"/>
          <w:sz w:val="24"/>
          <w:szCs w:val="24"/>
        </w:rPr>
        <w:t xml:space="preserve"> his subsequent PER</w:t>
      </w:r>
      <w:r w:rsidR="00835FB2">
        <w:rPr>
          <w:rFonts w:cstheme="minorHAnsi"/>
          <w:sz w:val="24"/>
          <w:szCs w:val="24"/>
        </w:rPr>
        <w:t xml:space="preserve"> for month 8 </w:t>
      </w:r>
      <w:r>
        <w:rPr>
          <w:rFonts w:cstheme="minorHAnsi"/>
          <w:sz w:val="24"/>
          <w:szCs w:val="24"/>
        </w:rPr>
        <w:t xml:space="preserve">has 17 negative ratings. By </w:t>
      </w:r>
      <w:r w:rsidR="00E11099">
        <w:rPr>
          <w:rFonts w:cstheme="minorHAnsi"/>
          <w:sz w:val="24"/>
          <w:szCs w:val="24"/>
        </w:rPr>
        <w:t>then</w:t>
      </w:r>
      <w:r>
        <w:rPr>
          <w:rFonts w:cstheme="minorHAnsi"/>
          <w:sz w:val="24"/>
          <w:szCs w:val="24"/>
        </w:rPr>
        <w:t xml:space="preserve"> </w:t>
      </w:r>
      <w:r w:rsidR="00835FB2">
        <w:rPr>
          <w:rFonts w:cstheme="minorHAnsi"/>
          <w:sz w:val="24"/>
          <w:szCs w:val="24"/>
        </w:rPr>
        <w:t xml:space="preserve">the </w:t>
      </w:r>
      <w:r w:rsidR="00902709">
        <w:rPr>
          <w:rFonts w:cstheme="minorHAnsi"/>
          <w:sz w:val="24"/>
          <w:szCs w:val="24"/>
        </w:rPr>
        <w:t>Applicant</w:t>
      </w:r>
      <w:r>
        <w:rPr>
          <w:rFonts w:cstheme="minorHAnsi"/>
          <w:sz w:val="24"/>
          <w:szCs w:val="24"/>
        </w:rPr>
        <w:t xml:space="preserve"> is on a new platoon and under Nie as a coach officer and he </w:t>
      </w:r>
      <w:r w:rsidR="00835FB2">
        <w:rPr>
          <w:rFonts w:cstheme="minorHAnsi"/>
          <w:sz w:val="24"/>
          <w:szCs w:val="24"/>
        </w:rPr>
        <w:t>senses that</w:t>
      </w:r>
      <w:r>
        <w:rPr>
          <w:rFonts w:cstheme="minorHAnsi"/>
          <w:sz w:val="24"/>
          <w:szCs w:val="24"/>
        </w:rPr>
        <w:t xml:space="preserve"> he is marked </w:t>
      </w:r>
      <w:r>
        <w:rPr>
          <w:rFonts w:cstheme="minorHAnsi"/>
          <w:sz w:val="24"/>
          <w:szCs w:val="24"/>
        </w:rPr>
        <w:lastRenderedPageBreak/>
        <w:t>for termination</w:t>
      </w:r>
      <w:r w:rsidR="00C31D1A">
        <w:rPr>
          <w:rFonts w:cstheme="minorHAnsi"/>
          <w:sz w:val="24"/>
          <w:szCs w:val="24"/>
        </w:rPr>
        <w:t xml:space="preserve">. </w:t>
      </w:r>
      <w:r w:rsidR="00A10C83">
        <w:rPr>
          <w:rFonts w:cstheme="minorHAnsi"/>
          <w:sz w:val="24"/>
          <w:szCs w:val="24"/>
        </w:rPr>
        <w:t>Upon</w:t>
      </w:r>
      <w:r w:rsidR="00835FB2">
        <w:rPr>
          <w:rFonts w:cstheme="minorHAnsi"/>
          <w:sz w:val="24"/>
          <w:szCs w:val="24"/>
        </w:rPr>
        <w:t xml:space="preserve"> receiving a </w:t>
      </w:r>
      <w:r w:rsidR="00835FB2" w:rsidRPr="00C16494">
        <w:rPr>
          <w:rFonts w:cstheme="minorHAnsi"/>
          <w:sz w:val="24"/>
          <w:szCs w:val="24"/>
        </w:rPr>
        <w:t>Notice of Internal Complaint</w:t>
      </w:r>
      <w:r w:rsidR="00835FB2">
        <w:rPr>
          <w:rStyle w:val="FootnoteReference"/>
          <w:rFonts w:cstheme="minorHAnsi"/>
          <w:sz w:val="24"/>
          <w:szCs w:val="24"/>
        </w:rPr>
        <w:footnoteReference w:id="109"/>
      </w:r>
      <w:r w:rsidR="00835FB2">
        <w:rPr>
          <w:rFonts w:cstheme="minorHAnsi"/>
          <w:sz w:val="24"/>
          <w:szCs w:val="24"/>
        </w:rPr>
        <w:t xml:space="preserve"> the </w:t>
      </w:r>
      <w:r w:rsidR="00902709">
        <w:rPr>
          <w:rFonts w:cstheme="minorHAnsi"/>
          <w:sz w:val="24"/>
          <w:szCs w:val="24"/>
        </w:rPr>
        <w:t>Applicant</w:t>
      </w:r>
      <w:r w:rsidR="00835FB2">
        <w:rPr>
          <w:rFonts w:cstheme="minorHAnsi"/>
          <w:sz w:val="24"/>
          <w:szCs w:val="24"/>
        </w:rPr>
        <w:t xml:space="preserve"> fully realizes that somebody wants him </w:t>
      </w:r>
      <w:r w:rsidR="00E11099">
        <w:rPr>
          <w:rFonts w:cstheme="minorHAnsi"/>
          <w:sz w:val="24"/>
          <w:szCs w:val="24"/>
        </w:rPr>
        <w:t>terminated</w:t>
      </w:r>
      <w:r w:rsidR="00835FB2">
        <w:rPr>
          <w:rFonts w:cstheme="minorHAnsi"/>
          <w:sz w:val="24"/>
          <w:szCs w:val="24"/>
        </w:rPr>
        <w:t xml:space="preserve"> by all </w:t>
      </w:r>
      <w:r w:rsidR="00E11099">
        <w:rPr>
          <w:rFonts w:cstheme="minorHAnsi"/>
          <w:sz w:val="24"/>
          <w:szCs w:val="24"/>
        </w:rPr>
        <w:t>means possible.</w:t>
      </w:r>
      <w:r w:rsidR="00E11099">
        <w:rPr>
          <w:rStyle w:val="FootnoteReference"/>
          <w:rFonts w:cstheme="minorHAnsi"/>
          <w:sz w:val="24"/>
          <w:szCs w:val="24"/>
        </w:rPr>
        <w:footnoteReference w:id="110"/>
      </w:r>
      <w:r w:rsidR="00E11099">
        <w:rPr>
          <w:rFonts w:cstheme="minorHAnsi"/>
          <w:sz w:val="24"/>
          <w:szCs w:val="24"/>
        </w:rPr>
        <w:t xml:space="preserve"> During PE</w:t>
      </w:r>
      <w:r w:rsidR="005D3286">
        <w:rPr>
          <w:rFonts w:cstheme="minorHAnsi"/>
          <w:sz w:val="24"/>
          <w:szCs w:val="24"/>
        </w:rPr>
        <w:t xml:space="preserve">R 10 </w:t>
      </w:r>
      <w:r w:rsidR="00E11099">
        <w:rPr>
          <w:rFonts w:cstheme="minorHAnsi"/>
          <w:sz w:val="24"/>
          <w:szCs w:val="24"/>
        </w:rPr>
        <w:t xml:space="preserve">evaluation period the </w:t>
      </w:r>
      <w:r w:rsidR="00902709">
        <w:rPr>
          <w:rFonts w:cstheme="minorHAnsi"/>
          <w:sz w:val="24"/>
          <w:szCs w:val="24"/>
        </w:rPr>
        <w:t>Applicant</w:t>
      </w:r>
      <w:r w:rsidR="00E11099">
        <w:rPr>
          <w:rFonts w:cstheme="minorHAnsi"/>
          <w:sz w:val="24"/>
          <w:szCs w:val="24"/>
        </w:rPr>
        <w:t xml:space="preserve"> writes in desperation and </w:t>
      </w:r>
      <w:r w:rsidR="005D3286">
        <w:rPr>
          <w:rFonts w:cstheme="minorHAnsi"/>
          <w:sz w:val="24"/>
          <w:szCs w:val="24"/>
        </w:rPr>
        <w:t>submits a letter to Butorac titled ‘</w:t>
      </w:r>
      <w:r w:rsidR="005D3286" w:rsidRPr="00105E5D">
        <w:rPr>
          <w:rFonts w:cstheme="minorHAnsi"/>
          <w:b/>
          <w:bCs/>
          <w:sz w:val="24"/>
          <w:szCs w:val="24"/>
        </w:rPr>
        <w:t>Is my case hopeless’</w:t>
      </w:r>
      <w:r w:rsidR="005D3286">
        <w:rPr>
          <w:rFonts w:cstheme="minorHAnsi"/>
          <w:sz w:val="24"/>
          <w:szCs w:val="24"/>
        </w:rPr>
        <w:t>.</w:t>
      </w:r>
      <w:r w:rsidR="005D3286">
        <w:rPr>
          <w:rStyle w:val="FootnoteReference"/>
          <w:rFonts w:cstheme="minorHAnsi"/>
          <w:sz w:val="24"/>
          <w:szCs w:val="24"/>
        </w:rPr>
        <w:footnoteReference w:id="111"/>
      </w:r>
    </w:p>
    <w:p w:rsidR="001B3A5B" w:rsidRPr="001B3A5B" w:rsidRDefault="001B3A5B" w:rsidP="00C94ECF">
      <w:pPr>
        <w:pStyle w:val="ListParagraph"/>
        <w:rPr>
          <w:rFonts w:cstheme="minorHAnsi"/>
          <w:sz w:val="24"/>
          <w:szCs w:val="24"/>
        </w:rPr>
      </w:pPr>
    </w:p>
    <w:p w:rsidR="002A35AE" w:rsidRPr="000E0E0C" w:rsidRDefault="00A10C83" w:rsidP="007C4CFE">
      <w:pPr>
        <w:pStyle w:val="ListParagraph"/>
        <w:numPr>
          <w:ilvl w:val="0"/>
          <w:numId w:val="2"/>
        </w:numPr>
        <w:ind w:hanging="720"/>
        <w:rPr>
          <w:rFonts w:cstheme="minorHAnsi"/>
          <w:sz w:val="24"/>
          <w:szCs w:val="24"/>
        </w:rPr>
      </w:pPr>
      <w:r w:rsidRPr="000E0E0C">
        <w:rPr>
          <w:rFonts w:cstheme="minorHAnsi"/>
          <w:sz w:val="24"/>
          <w:szCs w:val="24"/>
        </w:rPr>
        <w:t xml:space="preserve">With respect to item 114, </w:t>
      </w:r>
      <w:r w:rsidR="00C26D93" w:rsidRPr="000E0E0C">
        <w:rPr>
          <w:rFonts w:cstheme="minorHAnsi"/>
          <w:sz w:val="24"/>
          <w:szCs w:val="24"/>
        </w:rPr>
        <w:t xml:space="preserve">Brockley’s testimony and cross </w:t>
      </w:r>
      <w:r w:rsidRPr="000E0E0C">
        <w:rPr>
          <w:rFonts w:cstheme="minorHAnsi"/>
          <w:sz w:val="24"/>
          <w:szCs w:val="24"/>
        </w:rPr>
        <w:t>took place</w:t>
      </w:r>
      <w:r w:rsidR="00C26D93" w:rsidRPr="000E0E0C">
        <w:rPr>
          <w:rFonts w:cstheme="minorHAnsi"/>
          <w:sz w:val="24"/>
          <w:szCs w:val="24"/>
        </w:rPr>
        <w:t xml:space="preserve"> on February 11, 2016. On Wednesday, February 10, 2016, </w:t>
      </w:r>
      <w:r w:rsidR="00B30CA9" w:rsidRPr="000E0E0C">
        <w:rPr>
          <w:rFonts w:cstheme="minorHAnsi"/>
          <w:sz w:val="24"/>
          <w:szCs w:val="24"/>
        </w:rPr>
        <w:t>Counsel</w:t>
      </w:r>
      <w:r w:rsidR="00C26D93" w:rsidRPr="000E0E0C">
        <w:rPr>
          <w:rFonts w:cstheme="minorHAnsi"/>
          <w:sz w:val="24"/>
          <w:szCs w:val="24"/>
        </w:rPr>
        <w:t xml:space="preserve"> for the </w:t>
      </w:r>
      <w:r w:rsidR="0023626C" w:rsidRPr="000E0E0C">
        <w:rPr>
          <w:rFonts w:cstheme="minorHAnsi"/>
          <w:sz w:val="24"/>
          <w:szCs w:val="24"/>
        </w:rPr>
        <w:t>Respondent</w:t>
      </w:r>
      <w:r w:rsidR="00C26D93" w:rsidRPr="000E0E0C">
        <w:rPr>
          <w:rFonts w:cstheme="minorHAnsi"/>
          <w:sz w:val="24"/>
          <w:szCs w:val="24"/>
        </w:rPr>
        <w:t xml:space="preserve"> sent the </w:t>
      </w:r>
      <w:r w:rsidR="00902709" w:rsidRPr="000E0E0C">
        <w:rPr>
          <w:rFonts w:cstheme="minorHAnsi"/>
          <w:sz w:val="24"/>
          <w:szCs w:val="24"/>
        </w:rPr>
        <w:t>Applicant</w:t>
      </w:r>
      <w:r w:rsidRPr="000E0E0C">
        <w:rPr>
          <w:rFonts w:cstheme="minorHAnsi"/>
          <w:sz w:val="24"/>
          <w:szCs w:val="24"/>
        </w:rPr>
        <w:t>’s representative</w:t>
      </w:r>
      <w:r w:rsidR="00C26D93" w:rsidRPr="000E0E0C">
        <w:rPr>
          <w:rFonts w:cstheme="minorHAnsi"/>
          <w:sz w:val="24"/>
          <w:szCs w:val="24"/>
        </w:rPr>
        <w:t xml:space="preserve"> an email</w:t>
      </w:r>
      <w:r w:rsidRPr="000E0E0C">
        <w:rPr>
          <w:rStyle w:val="FootnoteReference"/>
          <w:rFonts w:cstheme="minorHAnsi"/>
          <w:sz w:val="24"/>
          <w:szCs w:val="24"/>
        </w:rPr>
        <w:footnoteReference w:id="112"/>
      </w:r>
      <w:r w:rsidR="00C26D93" w:rsidRPr="000E0E0C">
        <w:rPr>
          <w:rFonts w:cstheme="minorHAnsi"/>
          <w:sz w:val="24"/>
          <w:szCs w:val="24"/>
        </w:rPr>
        <w:t xml:space="preserve"> containing further disclosure of the </w:t>
      </w:r>
      <w:r w:rsidR="00902709" w:rsidRPr="000E0E0C">
        <w:rPr>
          <w:rFonts w:cstheme="minorHAnsi"/>
          <w:sz w:val="24"/>
          <w:szCs w:val="24"/>
        </w:rPr>
        <w:t>Applicant</w:t>
      </w:r>
      <w:r w:rsidR="00C26D93" w:rsidRPr="000E0E0C">
        <w:rPr>
          <w:rFonts w:cstheme="minorHAnsi"/>
          <w:sz w:val="24"/>
          <w:szCs w:val="24"/>
        </w:rPr>
        <w:t xml:space="preserve">’s witness, Constable Jamie Brockley who was due to testify the following day. The disclosure consisted of an added </w:t>
      </w:r>
      <w:r w:rsidR="000E0E0C" w:rsidRPr="000E0E0C">
        <w:rPr>
          <w:rFonts w:cstheme="minorHAnsi"/>
          <w:sz w:val="24"/>
          <w:szCs w:val="24"/>
        </w:rPr>
        <w:t>w</w:t>
      </w:r>
      <w:r w:rsidR="001805D1" w:rsidRPr="000E0E0C">
        <w:rPr>
          <w:rFonts w:cstheme="minorHAnsi"/>
          <w:sz w:val="24"/>
          <w:szCs w:val="24"/>
        </w:rPr>
        <w:t>ill-say</w:t>
      </w:r>
      <w:r w:rsidR="00C26D93" w:rsidRPr="000E0E0C">
        <w:rPr>
          <w:rFonts w:cstheme="minorHAnsi"/>
          <w:sz w:val="24"/>
          <w:szCs w:val="24"/>
        </w:rPr>
        <w:t xml:space="preserve"> of </w:t>
      </w:r>
      <w:r w:rsidR="001805D1" w:rsidRPr="000E0E0C">
        <w:rPr>
          <w:rFonts w:cstheme="minorHAnsi"/>
          <w:sz w:val="24"/>
          <w:szCs w:val="24"/>
        </w:rPr>
        <w:t>Brockley</w:t>
      </w:r>
      <w:r w:rsidR="00C26D93" w:rsidRPr="000E0E0C">
        <w:rPr>
          <w:rFonts w:cstheme="minorHAnsi"/>
          <w:sz w:val="24"/>
          <w:szCs w:val="24"/>
        </w:rPr>
        <w:t>.</w:t>
      </w:r>
      <w:r w:rsidR="00E906C9" w:rsidRPr="000E0E0C">
        <w:rPr>
          <w:rStyle w:val="FootnoteReference"/>
          <w:rFonts w:cstheme="minorHAnsi"/>
          <w:sz w:val="24"/>
          <w:szCs w:val="24"/>
        </w:rPr>
        <w:footnoteReference w:id="113"/>
      </w:r>
      <w:r w:rsidR="00105E5D" w:rsidRPr="000E0E0C">
        <w:rPr>
          <w:rFonts w:cstheme="minorHAnsi"/>
          <w:sz w:val="24"/>
          <w:szCs w:val="24"/>
        </w:rPr>
        <w:t xml:space="preserve"> Since the Applicant’s representative was staying with a relative in Aurora and had no access to his computer</w:t>
      </w:r>
      <w:r w:rsidR="007C4CFE" w:rsidRPr="000E0E0C">
        <w:rPr>
          <w:rFonts w:cstheme="minorHAnsi"/>
          <w:sz w:val="24"/>
          <w:szCs w:val="24"/>
        </w:rPr>
        <w:t xml:space="preserve">, </w:t>
      </w:r>
      <w:r w:rsidR="00105E5D" w:rsidRPr="000E0E0C">
        <w:rPr>
          <w:rFonts w:cstheme="minorHAnsi"/>
          <w:sz w:val="24"/>
          <w:szCs w:val="24"/>
        </w:rPr>
        <w:t xml:space="preserve">Brockley’s </w:t>
      </w:r>
      <w:r w:rsidR="007C4CFE" w:rsidRPr="000E0E0C">
        <w:rPr>
          <w:rFonts w:cstheme="minorHAnsi"/>
          <w:sz w:val="24"/>
          <w:szCs w:val="24"/>
        </w:rPr>
        <w:t xml:space="preserve">second </w:t>
      </w:r>
      <w:r w:rsidR="000E0E0C" w:rsidRPr="000E0E0C">
        <w:rPr>
          <w:rFonts w:cstheme="minorHAnsi"/>
          <w:sz w:val="24"/>
          <w:szCs w:val="24"/>
        </w:rPr>
        <w:t>w</w:t>
      </w:r>
      <w:r w:rsidR="007C4CFE" w:rsidRPr="000E0E0C">
        <w:rPr>
          <w:rFonts w:cstheme="minorHAnsi"/>
          <w:sz w:val="24"/>
          <w:szCs w:val="24"/>
        </w:rPr>
        <w:t xml:space="preserve">ill-say, which was </w:t>
      </w:r>
      <w:r w:rsidR="00105E5D" w:rsidRPr="000E0E0C">
        <w:rPr>
          <w:rFonts w:cstheme="minorHAnsi"/>
          <w:sz w:val="24"/>
          <w:szCs w:val="24"/>
        </w:rPr>
        <w:t>sent less than 24 hours before Brockley’s testimony</w:t>
      </w:r>
      <w:r w:rsidR="007C4CFE" w:rsidRPr="000E0E0C">
        <w:rPr>
          <w:rFonts w:cstheme="minorHAnsi"/>
          <w:sz w:val="24"/>
          <w:szCs w:val="24"/>
        </w:rPr>
        <w:t>,</w:t>
      </w:r>
      <w:r w:rsidR="00105E5D" w:rsidRPr="000E0E0C">
        <w:rPr>
          <w:rFonts w:cstheme="minorHAnsi"/>
          <w:sz w:val="24"/>
          <w:szCs w:val="24"/>
        </w:rPr>
        <w:t xml:space="preserve"> did not reach the intended recipient until </w:t>
      </w:r>
      <w:r w:rsidR="007C4CFE" w:rsidRPr="000E0E0C">
        <w:rPr>
          <w:rFonts w:cstheme="minorHAnsi"/>
          <w:sz w:val="24"/>
          <w:szCs w:val="24"/>
        </w:rPr>
        <w:t>a day after Brockley’s testimony was over.</w:t>
      </w:r>
    </w:p>
    <w:p w:rsidR="002A35AE" w:rsidRPr="007C4CFE" w:rsidRDefault="002A35AE" w:rsidP="002A35AE">
      <w:pPr>
        <w:pStyle w:val="ListParagraph"/>
        <w:spacing w:line="240" w:lineRule="auto"/>
        <w:rPr>
          <w:rFonts w:cstheme="minorHAnsi"/>
          <w:sz w:val="24"/>
          <w:szCs w:val="24"/>
          <w:highlight w:val="yellow"/>
        </w:rPr>
      </w:pPr>
    </w:p>
    <w:p w:rsidR="00C26D93" w:rsidRPr="000E0E0C" w:rsidRDefault="00C26D93" w:rsidP="002A35AE">
      <w:pPr>
        <w:pStyle w:val="ListParagraph"/>
        <w:numPr>
          <w:ilvl w:val="0"/>
          <w:numId w:val="2"/>
        </w:numPr>
        <w:ind w:hanging="720"/>
        <w:rPr>
          <w:rFonts w:cstheme="minorHAnsi"/>
          <w:sz w:val="24"/>
          <w:szCs w:val="24"/>
        </w:rPr>
      </w:pPr>
      <w:r w:rsidRPr="000E0E0C">
        <w:rPr>
          <w:rFonts w:cstheme="minorHAnsi"/>
          <w:sz w:val="24"/>
          <w:szCs w:val="24"/>
        </w:rPr>
        <w:t>Th</w:t>
      </w:r>
      <w:r w:rsidR="000E0E0C" w:rsidRPr="000E0E0C">
        <w:rPr>
          <w:rFonts w:cstheme="minorHAnsi"/>
          <w:sz w:val="24"/>
          <w:szCs w:val="24"/>
        </w:rPr>
        <w:t>is</w:t>
      </w:r>
      <w:r w:rsidRPr="000E0E0C">
        <w:rPr>
          <w:rFonts w:cstheme="minorHAnsi"/>
          <w:sz w:val="24"/>
          <w:szCs w:val="24"/>
        </w:rPr>
        <w:t xml:space="preserve"> </w:t>
      </w:r>
      <w:r w:rsidR="007C4CFE" w:rsidRPr="000E0E0C">
        <w:rPr>
          <w:rFonts w:cstheme="minorHAnsi"/>
          <w:sz w:val="24"/>
          <w:szCs w:val="24"/>
        </w:rPr>
        <w:t xml:space="preserve">second </w:t>
      </w:r>
      <w:r w:rsidR="000E0E0C" w:rsidRPr="000E0E0C">
        <w:rPr>
          <w:rFonts w:cstheme="minorHAnsi"/>
          <w:sz w:val="24"/>
          <w:szCs w:val="24"/>
        </w:rPr>
        <w:t xml:space="preserve">and </w:t>
      </w:r>
      <w:r w:rsidR="007C4CFE" w:rsidRPr="000E0E0C">
        <w:rPr>
          <w:rFonts w:cstheme="minorHAnsi"/>
          <w:sz w:val="24"/>
          <w:szCs w:val="24"/>
        </w:rPr>
        <w:t xml:space="preserve">last-minute </w:t>
      </w:r>
      <w:r w:rsidR="000E0E0C" w:rsidRPr="000E0E0C">
        <w:rPr>
          <w:rFonts w:cstheme="minorHAnsi"/>
          <w:sz w:val="24"/>
          <w:szCs w:val="24"/>
        </w:rPr>
        <w:t>w</w:t>
      </w:r>
      <w:r w:rsidR="001805D1" w:rsidRPr="000E0E0C">
        <w:rPr>
          <w:rFonts w:cstheme="minorHAnsi"/>
          <w:sz w:val="24"/>
          <w:szCs w:val="24"/>
        </w:rPr>
        <w:t>ill-say</w:t>
      </w:r>
      <w:r w:rsidRPr="000E0E0C">
        <w:rPr>
          <w:rFonts w:cstheme="minorHAnsi"/>
          <w:sz w:val="24"/>
          <w:szCs w:val="24"/>
        </w:rPr>
        <w:t xml:space="preserve"> </w:t>
      </w:r>
      <w:r w:rsidR="001805D1" w:rsidRPr="000E0E0C">
        <w:rPr>
          <w:rFonts w:cstheme="minorHAnsi"/>
          <w:sz w:val="24"/>
          <w:szCs w:val="24"/>
        </w:rPr>
        <w:t xml:space="preserve">is one </w:t>
      </w:r>
      <w:r w:rsidRPr="000E0E0C">
        <w:rPr>
          <w:rFonts w:cstheme="minorHAnsi"/>
          <w:sz w:val="24"/>
          <w:szCs w:val="24"/>
        </w:rPr>
        <w:t xml:space="preserve">page </w:t>
      </w:r>
      <w:r w:rsidR="001805D1" w:rsidRPr="000E0E0C">
        <w:rPr>
          <w:rFonts w:cstheme="minorHAnsi"/>
          <w:sz w:val="24"/>
          <w:szCs w:val="24"/>
        </w:rPr>
        <w:t>in length and consists</w:t>
      </w:r>
      <w:r w:rsidRPr="000E0E0C">
        <w:rPr>
          <w:rFonts w:cstheme="minorHAnsi"/>
          <w:sz w:val="24"/>
          <w:szCs w:val="24"/>
        </w:rPr>
        <w:t xml:space="preserve"> of when </w:t>
      </w:r>
      <w:r w:rsidR="00D50A9E" w:rsidRPr="000E0E0C">
        <w:rPr>
          <w:rFonts w:cstheme="minorHAnsi"/>
          <w:sz w:val="24"/>
          <w:szCs w:val="24"/>
        </w:rPr>
        <w:t>Brockley</w:t>
      </w:r>
      <w:r w:rsidRPr="000E0E0C">
        <w:rPr>
          <w:rFonts w:cstheme="minorHAnsi"/>
          <w:sz w:val="24"/>
          <w:szCs w:val="24"/>
        </w:rPr>
        <w:t xml:space="preserve"> had learned of 13 phone calls that the </w:t>
      </w:r>
      <w:r w:rsidR="00902709" w:rsidRPr="000E0E0C">
        <w:rPr>
          <w:rFonts w:cstheme="minorHAnsi"/>
          <w:sz w:val="24"/>
          <w:szCs w:val="24"/>
        </w:rPr>
        <w:t>Applicant</w:t>
      </w:r>
      <w:r w:rsidRPr="000E0E0C">
        <w:rPr>
          <w:rFonts w:cstheme="minorHAnsi"/>
          <w:sz w:val="24"/>
          <w:szCs w:val="24"/>
        </w:rPr>
        <w:t xml:space="preserve"> had </w:t>
      </w:r>
      <w:r w:rsidR="007C4CFE" w:rsidRPr="000E0E0C">
        <w:rPr>
          <w:rFonts w:cstheme="minorHAnsi"/>
          <w:sz w:val="24"/>
          <w:szCs w:val="24"/>
        </w:rPr>
        <w:t xml:space="preserve">allegedly </w:t>
      </w:r>
      <w:r w:rsidRPr="000E0E0C">
        <w:rPr>
          <w:rFonts w:cstheme="minorHAnsi"/>
          <w:sz w:val="24"/>
          <w:szCs w:val="24"/>
        </w:rPr>
        <w:t>made to</w:t>
      </w:r>
      <w:r w:rsidR="00BD3A34" w:rsidRPr="000E0E0C">
        <w:rPr>
          <w:rFonts w:cstheme="minorHAnsi"/>
          <w:sz w:val="24"/>
          <w:szCs w:val="24"/>
        </w:rPr>
        <w:t xml:space="preserve"> one</w:t>
      </w:r>
      <w:r w:rsidR="001805D1" w:rsidRPr="000E0E0C">
        <w:rPr>
          <w:rFonts w:cstheme="minorHAnsi"/>
          <w:sz w:val="24"/>
          <w:szCs w:val="24"/>
        </w:rPr>
        <w:t xml:space="preserve"> of the so called ‘U</w:t>
      </w:r>
      <w:r w:rsidRPr="000E0E0C">
        <w:rPr>
          <w:rFonts w:cstheme="minorHAnsi"/>
          <w:sz w:val="24"/>
          <w:szCs w:val="24"/>
        </w:rPr>
        <w:t xml:space="preserve">ndesirables.’ It further indicated that </w:t>
      </w:r>
      <w:r w:rsidR="00BD3A34" w:rsidRPr="000E0E0C">
        <w:rPr>
          <w:rFonts w:cstheme="minorHAnsi"/>
          <w:sz w:val="24"/>
          <w:szCs w:val="24"/>
        </w:rPr>
        <w:t xml:space="preserve">this information came to </w:t>
      </w:r>
      <w:r w:rsidR="00E868C2" w:rsidRPr="000E0E0C">
        <w:rPr>
          <w:rFonts w:cstheme="minorHAnsi"/>
          <w:sz w:val="24"/>
          <w:szCs w:val="24"/>
        </w:rPr>
        <w:t>Brockley</w:t>
      </w:r>
      <w:r w:rsidR="00BD3A34" w:rsidRPr="000E0E0C">
        <w:rPr>
          <w:rFonts w:cstheme="minorHAnsi"/>
          <w:sz w:val="24"/>
          <w:szCs w:val="24"/>
        </w:rPr>
        <w:t xml:space="preserve"> on January 13, 2013. </w:t>
      </w:r>
    </w:p>
    <w:p w:rsidR="00BD3A34" w:rsidRPr="00BD3A34" w:rsidRDefault="00BD3A34" w:rsidP="00C94ECF">
      <w:pPr>
        <w:pStyle w:val="ListParagraph"/>
        <w:ind w:hanging="720"/>
        <w:rPr>
          <w:rFonts w:cstheme="minorHAnsi"/>
          <w:sz w:val="24"/>
          <w:szCs w:val="24"/>
        </w:rPr>
      </w:pPr>
    </w:p>
    <w:p w:rsidR="00E868C2" w:rsidRPr="008B789A" w:rsidRDefault="00BD3A34" w:rsidP="00C94ECF">
      <w:pPr>
        <w:pStyle w:val="ListParagraph"/>
        <w:numPr>
          <w:ilvl w:val="0"/>
          <w:numId w:val="2"/>
        </w:numPr>
        <w:ind w:hanging="720"/>
        <w:rPr>
          <w:rFonts w:cstheme="minorHAnsi"/>
          <w:sz w:val="24"/>
          <w:szCs w:val="24"/>
        </w:rPr>
      </w:pPr>
      <w:r>
        <w:rPr>
          <w:rFonts w:cstheme="minorHAnsi"/>
          <w:sz w:val="24"/>
          <w:szCs w:val="24"/>
        </w:rPr>
        <w:t>Th</w:t>
      </w:r>
      <w:r w:rsidR="00C26D93" w:rsidRPr="00C26D93">
        <w:rPr>
          <w:rFonts w:cstheme="minorHAnsi"/>
          <w:sz w:val="24"/>
          <w:szCs w:val="24"/>
        </w:rPr>
        <w:t>e testimony of Brockley on Thursday</w:t>
      </w:r>
      <w:r w:rsidR="001805D1">
        <w:rPr>
          <w:rFonts w:cstheme="minorHAnsi"/>
          <w:sz w:val="24"/>
          <w:szCs w:val="24"/>
        </w:rPr>
        <w:t>,</w:t>
      </w:r>
      <w:r w:rsidR="00C26D93" w:rsidRPr="00C26D93">
        <w:rPr>
          <w:rFonts w:cstheme="minorHAnsi"/>
          <w:sz w:val="24"/>
          <w:szCs w:val="24"/>
        </w:rPr>
        <w:t xml:space="preserve"> February 11, 2016, was that (concerning Mr. Jack's termination of employment September 2008 to December 15, 2009) Mr. Jack ran an undercover vehicle plate in March 2009, showed a 6 year old photograph in January 2009 and other things that caused suspicion that he was associating with organized crime. Mr. Brockley specifically stated that he heard this while working a night shift on Sergeant Robert Flindall’s shift. When questioned further he advised that the others things were the 13 telephone calls made by Mr. Jack from his cell phone to one of the </w:t>
      </w:r>
      <w:r w:rsidR="001429F2">
        <w:rPr>
          <w:rFonts w:cstheme="minorHAnsi"/>
          <w:sz w:val="24"/>
          <w:szCs w:val="24"/>
        </w:rPr>
        <w:t>Undesirables</w:t>
      </w:r>
      <w:r w:rsidR="000872C0">
        <w:rPr>
          <w:rStyle w:val="FootnoteReference"/>
          <w:rFonts w:cstheme="minorHAnsi"/>
          <w:sz w:val="24"/>
          <w:szCs w:val="24"/>
        </w:rPr>
        <w:footnoteReference w:id="114"/>
      </w:r>
      <w:r w:rsidR="00C26D93" w:rsidRPr="00C26D93">
        <w:rPr>
          <w:rFonts w:cstheme="minorHAnsi"/>
          <w:sz w:val="24"/>
          <w:szCs w:val="24"/>
        </w:rPr>
        <w:t xml:space="preserve">. </w:t>
      </w:r>
      <w:r w:rsidR="008801D6" w:rsidRPr="00E868C2">
        <w:rPr>
          <w:rFonts w:cstheme="minorHAnsi"/>
          <w:sz w:val="24"/>
          <w:szCs w:val="24"/>
        </w:rPr>
        <w:t xml:space="preserve">So according to Brockley’s testimony the alleged running of the undercover plate, the record of these </w:t>
      </w:r>
      <w:r w:rsidR="008801D6">
        <w:rPr>
          <w:rFonts w:cstheme="minorHAnsi"/>
          <w:sz w:val="24"/>
          <w:szCs w:val="24"/>
        </w:rPr>
        <w:t xml:space="preserve">alleged </w:t>
      </w:r>
      <w:r w:rsidR="008801D6" w:rsidRPr="00E868C2">
        <w:rPr>
          <w:rFonts w:cstheme="minorHAnsi"/>
          <w:sz w:val="24"/>
          <w:szCs w:val="24"/>
        </w:rPr>
        <w:t xml:space="preserve">13 phone calls to one of the ‘Undesirables’ and the </w:t>
      </w:r>
      <w:r w:rsidR="008801D6">
        <w:rPr>
          <w:rFonts w:cstheme="minorHAnsi"/>
          <w:sz w:val="24"/>
          <w:szCs w:val="24"/>
        </w:rPr>
        <w:t xml:space="preserve">act of </w:t>
      </w:r>
      <w:r w:rsidR="008801D6" w:rsidRPr="00E868C2">
        <w:rPr>
          <w:rFonts w:cstheme="minorHAnsi"/>
          <w:sz w:val="24"/>
          <w:szCs w:val="24"/>
        </w:rPr>
        <w:t xml:space="preserve">showing of an old photograph in January 2009, when viewed cumulatively did cause suspicion that Jack was associating with Albanian organized crime. </w:t>
      </w:r>
      <w:r w:rsidR="00C26D93" w:rsidRPr="00C26D93">
        <w:rPr>
          <w:rFonts w:cstheme="minorHAnsi"/>
          <w:sz w:val="24"/>
          <w:szCs w:val="24"/>
        </w:rPr>
        <w:t xml:space="preserve">Hence, the </w:t>
      </w:r>
      <w:r w:rsidR="00E868C2">
        <w:rPr>
          <w:rFonts w:cstheme="minorHAnsi"/>
          <w:sz w:val="24"/>
          <w:szCs w:val="24"/>
        </w:rPr>
        <w:t>internal complaint alleging a</w:t>
      </w:r>
      <w:r w:rsidR="00C26D93" w:rsidRPr="00C26D93">
        <w:rPr>
          <w:rFonts w:cstheme="minorHAnsi"/>
          <w:sz w:val="24"/>
          <w:szCs w:val="24"/>
        </w:rPr>
        <w:t xml:space="preserve">ssociating with </w:t>
      </w:r>
      <w:r w:rsidR="00E868C2">
        <w:rPr>
          <w:rFonts w:cstheme="minorHAnsi"/>
          <w:sz w:val="24"/>
          <w:szCs w:val="24"/>
        </w:rPr>
        <w:t>‘</w:t>
      </w:r>
      <w:r w:rsidR="00C26D93" w:rsidRPr="00C26D93">
        <w:rPr>
          <w:rFonts w:cstheme="minorHAnsi"/>
          <w:sz w:val="24"/>
          <w:szCs w:val="24"/>
        </w:rPr>
        <w:t>Undesirables</w:t>
      </w:r>
      <w:r w:rsidR="00E868C2">
        <w:rPr>
          <w:rFonts w:cstheme="minorHAnsi"/>
          <w:sz w:val="24"/>
          <w:szCs w:val="24"/>
        </w:rPr>
        <w:t>’</w:t>
      </w:r>
      <w:r w:rsidR="00C26D93" w:rsidRPr="00C26D93">
        <w:rPr>
          <w:rFonts w:cstheme="minorHAnsi"/>
          <w:sz w:val="24"/>
          <w:szCs w:val="24"/>
        </w:rPr>
        <w:t xml:space="preserve"> and the subsequent investigation by </w:t>
      </w:r>
      <w:r w:rsidR="007C4CFE">
        <w:rPr>
          <w:rFonts w:cstheme="minorHAnsi"/>
          <w:sz w:val="24"/>
          <w:szCs w:val="24"/>
        </w:rPr>
        <w:t xml:space="preserve">the </w:t>
      </w:r>
      <w:r w:rsidR="00C26D93" w:rsidRPr="00C26D93">
        <w:rPr>
          <w:rFonts w:cstheme="minorHAnsi"/>
          <w:sz w:val="24"/>
          <w:szCs w:val="24"/>
        </w:rPr>
        <w:t>PSB.</w:t>
      </w:r>
    </w:p>
    <w:p w:rsidR="00E868C2" w:rsidRPr="00E868C2" w:rsidRDefault="00E868C2" w:rsidP="00C94ECF">
      <w:pPr>
        <w:pStyle w:val="ListParagraph"/>
        <w:rPr>
          <w:rFonts w:cstheme="minorHAnsi"/>
          <w:sz w:val="24"/>
          <w:szCs w:val="24"/>
          <w:highlight w:val="yellow"/>
        </w:rPr>
      </w:pPr>
    </w:p>
    <w:p w:rsidR="00C26D93" w:rsidRDefault="00415BC3" w:rsidP="00C94ECF">
      <w:pPr>
        <w:pStyle w:val="ListParagraph"/>
        <w:numPr>
          <w:ilvl w:val="0"/>
          <w:numId w:val="2"/>
        </w:numPr>
        <w:ind w:hanging="630"/>
        <w:rPr>
          <w:rFonts w:cstheme="minorHAnsi"/>
          <w:sz w:val="24"/>
          <w:szCs w:val="24"/>
        </w:rPr>
      </w:pPr>
      <w:r>
        <w:rPr>
          <w:rFonts w:cstheme="minorHAnsi"/>
          <w:sz w:val="24"/>
          <w:szCs w:val="24"/>
        </w:rPr>
        <w:lastRenderedPageBreak/>
        <w:t>D</w:t>
      </w:r>
      <w:r w:rsidR="00C26D93" w:rsidRPr="00415BC3">
        <w:rPr>
          <w:rFonts w:cstheme="minorHAnsi"/>
          <w:sz w:val="24"/>
          <w:szCs w:val="24"/>
        </w:rPr>
        <w:t xml:space="preserve">ocumentary evidence in the </w:t>
      </w:r>
      <w:r w:rsidR="0023626C">
        <w:rPr>
          <w:rFonts w:cstheme="minorHAnsi"/>
          <w:sz w:val="24"/>
          <w:szCs w:val="24"/>
        </w:rPr>
        <w:t>Respondent</w:t>
      </w:r>
      <w:r w:rsidR="00C26D93" w:rsidRPr="00415BC3">
        <w:rPr>
          <w:rFonts w:cstheme="minorHAnsi"/>
          <w:sz w:val="24"/>
          <w:szCs w:val="24"/>
        </w:rPr>
        <w:t>’s disclosure, namely an email sent by</w:t>
      </w:r>
      <w:r w:rsidR="00CA3153">
        <w:rPr>
          <w:rFonts w:cstheme="minorHAnsi"/>
          <w:sz w:val="24"/>
          <w:szCs w:val="24"/>
        </w:rPr>
        <w:t xml:space="preserve"> </w:t>
      </w:r>
      <w:r w:rsidR="00C26D93" w:rsidRPr="00415BC3">
        <w:rPr>
          <w:rFonts w:cstheme="minorHAnsi"/>
          <w:sz w:val="24"/>
          <w:szCs w:val="24"/>
        </w:rPr>
        <w:t>Flindall to Johnston on September 11, 2009, at 4:41 pm points to the date of July 31, 2009, when Brockley worked on</w:t>
      </w:r>
      <w:r w:rsidR="00CA3153">
        <w:rPr>
          <w:rFonts w:cstheme="minorHAnsi"/>
          <w:sz w:val="24"/>
          <w:szCs w:val="24"/>
        </w:rPr>
        <w:t xml:space="preserve"> </w:t>
      </w:r>
      <w:r w:rsidR="00C26D93" w:rsidRPr="00415BC3">
        <w:rPr>
          <w:rFonts w:cstheme="minorHAnsi"/>
          <w:sz w:val="24"/>
          <w:szCs w:val="24"/>
        </w:rPr>
        <w:t xml:space="preserve">Flindall’s platoon and </w:t>
      </w:r>
      <w:r w:rsidR="00CA3153">
        <w:rPr>
          <w:rFonts w:cstheme="minorHAnsi"/>
          <w:sz w:val="24"/>
          <w:szCs w:val="24"/>
        </w:rPr>
        <w:t>over</w:t>
      </w:r>
      <w:r w:rsidR="00C26D93" w:rsidRPr="00415BC3">
        <w:rPr>
          <w:rFonts w:cstheme="minorHAnsi"/>
          <w:sz w:val="24"/>
          <w:szCs w:val="24"/>
        </w:rPr>
        <w:t>heard</w:t>
      </w:r>
      <w:r w:rsidR="00F1010F">
        <w:rPr>
          <w:rFonts w:cstheme="minorHAnsi"/>
          <w:sz w:val="24"/>
          <w:szCs w:val="24"/>
        </w:rPr>
        <w:t xml:space="preserve"> </w:t>
      </w:r>
      <w:r w:rsidR="00C26D93" w:rsidRPr="00415BC3">
        <w:rPr>
          <w:rFonts w:cstheme="minorHAnsi"/>
          <w:sz w:val="24"/>
          <w:szCs w:val="24"/>
        </w:rPr>
        <w:t>Jack r</w:t>
      </w:r>
      <w:r w:rsidR="004B468D" w:rsidRPr="00415BC3">
        <w:rPr>
          <w:rFonts w:cstheme="minorHAnsi"/>
          <w:sz w:val="24"/>
          <w:szCs w:val="24"/>
        </w:rPr>
        <w:t>un an undercover vehicle plate.</w:t>
      </w:r>
      <w:r w:rsidR="004B468D">
        <w:rPr>
          <w:rStyle w:val="FootnoteReference"/>
          <w:rFonts w:cstheme="minorHAnsi"/>
          <w:sz w:val="24"/>
          <w:szCs w:val="24"/>
        </w:rPr>
        <w:footnoteReference w:id="115"/>
      </w:r>
    </w:p>
    <w:p w:rsidR="00415BC3" w:rsidRPr="00415BC3" w:rsidRDefault="00415BC3" w:rsidP="00C94ECF">
      <w:pPr>
        <w:pStyle w:val="ListParagraph"/>
        <w:rPr>
          <w:rFonts w:cstheme="minorHAnsi"/>
          <w:sz w:val="24"/>
          <w:szCs w:val="24"/>
        </w:rPr>
      </w:pPr>
    </w:p>
    <w:p w:rsidR="00415BC3" w:rsidRDefault="00415BC3" w:rsidP="00C94ECF">
      <w:pPr>
        <w:pStyle w:val="ListParagraph"/>
        <w:rPr>
          <w:rFonts w:cstheme="minorHAnsi"/>
          <w:sz w:val="24"/>
          <w:szCs w:val="24"/>
        </w:rPr>
      </w:pPr>
      <w:r>
        <w:rPr>
          <w:rFonts w:cstheme="minorHAnsi"/>
          <w:noProof/>
          <w:sz w:val="24"/>
          <w:szCs w:val="24"/>
        </w:rPr>
        <w:drawing>
          <wp:inline distT="0" distB="0" distL="0" distR="0" wp14:anchorId="72B33091" wp14:editId="5F5B2315">
            <wp:extent cx="5724525" cy="7810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8146" cy="781544"/>
                    </a:xfrm>
                    <a:prstGeom prst="rect">
                      <a:avLst/>
                    </a:prstGeom>
                    <a:noFill/>
                    <a:ln>
                      <a:noFill/>
                    </a:ln>
                  </pic:spPr>
                </pic:pic>
              </a:graphicData>
            </a:graphic>
          </wp:inline>
        </w:drawing>
      </w:r>
    </w:p>
    <w:p w:rsidR="00E868C2" w:rsidRDefault="00E868C2" w:rsidP="00C94ECF">
      <w:pPr>
        <w:pStyle w:val="ListParagraph"/>
        <w:rPr>
          <w:rFonts w:cstheme="minorHAnsi"/>
          <w:sz w:val="24"/>
          <w:szCs w:val="24"/>
        </w:rPr>
      </w:pPr>
    </w:p>
    <w:p w:rsidR="00E868C2" w:rsidRPr="000E0E0C" w:rsidRDefault="00E868C2" w:rsidP="007C4CFE">
      <w:pPr>
        <w:pStyle w:val="ListParagraph"/>
        <w:numPr>
          <w:ilvl w:val="0"/>
          <w:numId w:val="2"/>
        </w:numPr>
        <w:ind w:hanging="720"/>
        <w:rPr>
          <w:rFonts w:cstheme="minorHAnsi"/>
          <w:sz w:val="24"/>
          <w:szCs w:val="24"/>
        </w:rPr>
      </w:pPr>
      <w:r w:rsidRPr="000E0E0C">
        <w:rPr>
          <w:rFonts w:cstheme="minorHAnsi"/>
          <w:sz w:val="24"/>
          <w:szCs w:val="24"/>
        </w:rPr>
        <w:t xml:space="preserve">However, </w:t>
      </w:r>
      <w:r w:rsidR="007C4CFE" w:rsidRPr="000E0E0C">
        <w:rPr>
          <w:rFonts w:cstheme="minorHAnsi"/>
          <w:sz w:val="24"/>
          <w:szCs w:val="24"/>
        </w:rPr>
        <w:t xml:space="preserve">despite being specifically questioned about the correctness of the date of the incident, </w:t>
      </w:r>
      <w:r w:rsidRPr="000E0E0C">
        <w:rPr>
          <w:rFonts w:cstheme="minorHAnsi"/>
          <w:sz w:val="24"/>
          <w:szCs w:val="24"/>
        </w:rPr>
        <w:t xml:space="preserve">Brockley couldn’t get right what date he worked on the </w:t>
      </w:r>
      <w:r w:rsidR="00902709" w:rsidRPr="000E0E0C">
        <w:rPr>
          <w:rFonts w:cstheme="minorHAnsi"/>
          <w:sz w:val="24"/>
          <w:szCs w:val="24"/>
        </w:rPr>
        <w:t>Applicant</w:t>
      </w:r>
      <w:r w:rsidRPr="000E0E0C">
        <w:rPr>
          <w:rFonts w:cstheme="minorHAnsi"/>
          <w:sz w:val="24"/>
          <w:szCs w:val="24"/>
        </w:rPr>
        <w:t>’s platoon because he did not have any notebooks with him</w:t>
      </w:r>
      <w:r w:rsidR="00CA3153" w:rsidRPr="000E0E0C">
        <w:rPr>
          <w:rFonts w:cstheme="minorHAnsi"/>
          <w:sz w:val="24"/>
          <w:szCs w:val="24"/>
        </w:rPr>
        <w:t xml:space="preserve"> during his testimony</w:t>
      </w:r>
      <w:r w:rsidRPr="000E0E0C">
        <w:rPr>
          <w:rFonts w:cstheme="minorHAnsi"/>
          <w:sz w:val="24"/>
          <w:szCs w:val="24"/>
        </w:rPr>
        <w:t>.</w:t>
      </w:r>
      <w:r w:rsidRPr="000E0E0C">
        <w:rPr>
          <w:rStyle w:val="FootnoteReference"/>
          <w:rFonts w:cstheme="minorHAnsi"/>
          <w:sz w:val="24"/>
          <w:szCs w:val="24"/>
        </w:rPr>
        <w:footnoteReference w:id="116"/>
      </w:r>
    </w:p>
    <w:p w:rsidR="00532055" w:rsidRPr="00532055" w:rsidRDefault="00532055" w:rsidP="00C94ECF">
      <w:pPr>
        <w:pStyle w:val="ListParagraph"/>
        <w:rPr>
          <w:rFonts w:cstheme="minorHAnsi"/>
          <w:sz w:val="24"/>
          <w:szCs w:val="24"/>
        </w:rPr>
      </w:pPr>
    </w:p>
    <w:p w:rsidR="002A35AE" w:rsidRDefault="00F817D9" w:rsidP="002A35AE">
      <w:pPr>
        <w:pStyle w:val="ListParagraph"/>
        <w:numPr>
          <w:ilvl w:val="0"/>
          <w:numId w:val="2"/>
        </w:numPr>
        <w:ind w:hanging="720"/>
        <w:rPr>
          <w:rFonts w:cstheme="minorHAnsi"/>
          <w:sz w:val="24"/>
          <w:szCs w:val="24"/>
        </w:rPr>
      </w:pPr>
      <w:r>
        <w:rPr>
          <w:rFonts w:cstheme="minorHAnsi"/>
          <w:sz w:val="24"/>
          <w:szCs w:val="24"/>
        </w:rPr>
        <w:t xml:space="preserve">Brockley’s testimony </w:t>
      </w:r>
      <w:r w:rsidR="003B1467">
        <w:rPr>
          <w:rFonts w:cstheme="minorHAnsi"/>
          <w:sz w:val="24"/>
          <w:szCs w:val="24"/>
        </w:rPr>
        <w:t xml:space="preserve">was </w:t>
      </w:r>
      <w:r>
        <w:rPr>
          <w:rFonts w:cstheme="minorHAnsi"/>
          <w:sz w:val="24"/>
          <w:szCs w:val="24"/>
        </w:rPr>
        <w:t>that there were 13 phone calls from Jack to one of those ‘</w:t>
      </w:r>
      <w:r w:rsidR="00E530F0">
        <w:rPr>
          <w:rFonts w:cstheme="minorHAnsi"/>
          <w:sz w:val="24"/>
          <w:szCs w:val="24"/>
        </w:rPr>
        <w:t>U</w:t>
      </w:r>
      <w:r>
        <w:rPr>
          <w:rFonts w:cstheme="minorHAnsi"/>
          <w:sz w:val="24"/>
          <w:szCs w:val="24"/>
        </w:rPr>
        <w:t xml:space="preserve">ndesirables’ </w:t>
      </w:r>
      <w:r w:rsidR="00F16F77">
        <w:rPr>
          <w:rFonts w:cstheme="minorHAnsi"/>
          <w:sz w:val="24"/>
          <w:szCs w:val="24"/>
        </w:rPr>
        <w:t xml:space="preserve">and the calls were made </w:t>
      </w:r>
      <w:r>
        <w:rPr>
          <w:rFonts w:cstheme="minorHAnsi"/>
          <w:sz w:val="24"/>
          <w:szCs w:val="24"/>
        </w:rPr>
        <w:t>in and around that time</w:t>
      </w:r>
      <w:r w:rsidR="00F16F77">
        <w:rPr>
          <w:rFonts w:cstheme="minorHAnsi"/>
          <w:sz w:val="24"/>
          <w:szCs w:val="24"/>
        </w:rPr>
        <w:t xml:space="preserve"> of March 2009.</w:t>
      </w:r>
      <w:r w:rsidR="00072A3F">
        <w:rPr>
          <w:rStyle w:val="FootnoteReference"/>
          <w:rFonts w:cstheme="minorHAnsi"/>
          <w:sz w:val="24"/>
          <w:szCs w:val="24"/>
        </w:rPr>
        <w:footnoteReference w:id="117"/>
      </w:r>
      <w:r w:rsidR="00F16F77">
        <w:rPr>
          <w:rFonts w:cstheme="minorHAnsi"/>
          <w:sz w:val="24"/>
          <w:szCs w:val="24"/>
        </w:rPr>
        <w:t xml:space="preserve"> However</w:t>
      </w:r>
      <w:r w:rsidR="00072A3F">
        <w:rPr>
          <w:rFonts w:cstheme="minorHAnsi"/>
          <w:sz w:val="24"/>
          <w:szCs w:val="24"/>
        </w:rPr>
        <w:t>,</w:t>
      </w:r>
      <w:r w:rsidR="00F16F77">
        <w:rPr>
          <w:rFonts w:cstheme="minorHAnsi"/>
          <w:sz w:val="24"/>
          <w:szCs w:val="24"/>
        </w:rPr>
        <w:t xml:space="preserve"> in and around that time is not June or July 2008.</w:t>
      </w:r>
      <w:r w:rsidR="00072A3F">
        <w:rPr>
          <w:rStyle w:val="FootnoteReference"/>
          <w:rFonts w:cstheme="minorHAnsi"/>
          <w:sz w:val="24"/>
          <w:szCs w:val="24"/>
        </w:rPr>
        <w:footnoteReference w:id="118"/>
      </w:r>
    </w:p>
    <w:p w:rsidR="002A35AE" w:rsidRPr="002A35AE" w:rsidRDefault="002A35AE" w:rsidP="002A35AE">
      <w:pPr>
        <w:pStyle w:val="ListParagraph"/>
        <w:spacing w:line="240" w:lineRule="auto"/>
        <w:rPr>
          <w:rFonts w:cstheme="minorHAnsi"/>
          <w:sz w:val="24"/>
          <w:szCs w:val="24"/>
        </w:rPr>
      </w:pPr>
    </w:p>
    <w:p w:rsidR="00151CB1" w:rsidRPr="002A35AE" w:rsidRDefault="009E38DD" w:rsidP="002A35AE">
      <w:pPr>
        <w:pStyle w:val="ListParagraph"/>
        <w:numPr>
          <w:ilvl w:val="0"/>
          <w:numId w:val="2"/>
        </w:numPr>
        <w:ind w:hanging="720"/>
        <w:rPr>
          <w:rFonts w:cstheme="minorHAnsi"/>
          <w:sz w:val="24"/>
          <w:szCs w:val="24"/>
        </w:rPr>
      </w:pPr>
      <w:r w:rsidRPr="002A35AE">
        <w:rPr>
          <w:rFonts w:cstheme="minorHAnsi"/>
          <w:sz w:val="24"/>
          <w:szCs w:val="24"/>
        </w:rPr>
        <w:t xml:space="preserve">Brockley </w:t>
      </w:r>
      <w:r w:rsidR="005D0A7F" w:rsidRPr="002A35AE">
        <w:rPr>
          <w:rFonts w:cstheme="minorHAnsi"/>
          <w:sz w:val="24"/>
          <w:szCs w:val="24"/>
        </w:rPr>
        <w:t>perjured</w:t>
      </w:r>
      <w:r w:rsidRPr="002A35AE">
        <w:rPr>
          <w:rFonts w:cstheme="minorHAnsi"/>
          <w:sz w:val="24"/>
          <w:szCs w:val="24"/>
        </w:rPr>
        <w:t xml:space="preserve"> himself on the stand when he stated:</w:t>
      </w:r>
      <w:r w:rsidRPr="002A35AE">
        <w:rPr>
          <w:rFonts w:cstheme="minorHAnsi"/>
          <w:i/>
          <w:iCs/>
          <w:sz w:val="24"/>
          <w:szCs w:val="24"/>
        </w:rPr>
        <w:t xml:space="preserve"> ‘’and further on knowing that he made 13 phone calls to one of the individuals.  That is...in itself, that is concerning at the time.”</w:t>
      </w:r>
      <w:r>
        <w:rPr>
          <w:rStyle w:val="FootnoteReference"/>
          <w:rFonts w:cstheme="minorHAnsi"/>
          <w:i/>
          <w:iCs/>
          <w:sz w:val="24"/>
          <w:szCs w:val="24"/>
        </w:rPr>
        <w:footnoteReference w:id="119"/>
      </w:r>
    </w:p>
    <w:p w:rsidR="00151CB1" w:rsidRPr="00151CB1" w:rsidRDefault="00151CB1" w:rsidP="00C94ECF">
      <w:pPr>
        <w:pStyle w:val="ListParagraph"/>
        <w:ind w:hanging="720"/>
        <w:rPr>
          <w:rFonts w:cstheme="minorHAnsi"/>
          <w:sz w:val="24"/>
          <w:szCs w:val="24"/>
        </w:rPr>
      </w:pPr>
    </w:p>
    <w:p w:rsidR="00151CB1" w:rsidRDefault="005D0A7F" w:rsidP="00C94ECF">
      <w:pPr>
        <w:pStyle w:val="ListParagraph"/>
        <w:numPr>
          <w:ilvl w:val="0"/>
          <w:numId w:val="2"/>
        </w:numPr>
        <w:ind w:hanging="720"/>
        <w:rPr>
          <w:rFonts w:cstheme="minorHAnsi"/>
          <w:sz w:val="24"/>
          <w:szCs w:val="24"/>
        </w:rPr>
      </w:pPr>
      <w:r w:rsidRPr="00151CB1">
        <w:rPr>
          <w:rFonts w:cstheme="minorHAnsi"/>
          <w:sz w:val="24"/>
          <w:szCs w:val="24"/>
        </w:rPr>
        <w:t xml:space="preserve">There is not a single mentioning of those alleged 13 phone calls in </w:t>
      </w:r>
      <w:r w:rsidR="003B1467">
        <w:rPr>
          <w:rFonts w:cstheme="minorHAnsi"/>
          <w:sz w:val="24"/>
          <w:szCs w:val="24"/>
        </w:rPr>
        <w:t xml:space="preserve">the </w:t>
      </w:r>
      <w:r w:rsidRPr="00151CB1">
        <w:rPr>
          <w:rFonts w:cstheme="minorHAnsi"/>
          <w:sz w:val="24"/>
          <w:szCs w:val="24"/>
        </w:rPr>
        <w:t>Confidential Duty Report authored by Flindall on November 11, 2009.</w:t>
      </w:r>
      <w:r>
        <w:rPr>
          <w:rStyle w:val="FootnoteReference"/>
          <w:rFonts w:cstheme="minorHAnsi"/>
          <w:sz w:val="24"/>
          <w:szCs w:val="24"/>
        </w:rPr>
        <w:footnoteReference w:id="120"/>
      </w:r>
    </w:p>
    <w:p w:rsidR="00151CB1" w:rsidRPr="00151CB1" w:rsidRDefault="00151CB1" w:rsidP="00C94ECF">
      <w:pPr>
        <w:pStyle w:val="ListParagraph"/>
        <w:ind w:hanging="720"/>
        <w:rPr>
          <w:rFonts w:cstheme="minorHAnsi"/>
          <w:sz w:val="24"/>
          <w:szCs w:val="24"/>
        </w:rPr>
      </w:pPr>
    </w:p>
    <w:p w:rsidR="00F1010F" w:rsidRPr="00F1010F" w:rsidRDefault="005D0A7F" w:rsidP="00C94ECF">
      <w:pPr>
        <w:pStyle w:val="ListParagraph"/>
        <w:numPr>
          <w:ilvl w:val="0"/>
          <w:numId w:val="2"/>
        </w:numPr>
        <w:ind w:hanging="720"/>
        <w:rPr>
          <w:rFonts w:cstheme="minorHAnsi"/>
          <w:sz w:val="24"/>
          <w:szCs w:val="24"/>
        </w:rPr>
      </w:pPr>
      <w:r w:rsidRPr="00151CB1">
        <w:rPr>
          <w:rFonts w:cstheme="minorHAnsi"/>
          <w:sz w:val="24"/>
          <w:szCs w:val="24"/>
        </w:rPr>
        <w:t xml:space="preserve">There is not a single mentioning of those alleged 13 phone calls in </w:t>
      </w:r>
      <w:r w:rsidR="003B1467">
        <w:rPr>
          <w:rFonts w:cstheme="minorHAnsi"/>
          <w:sz w:val="24"/>
          <w:szCs w:val="24"/>
        </w:rPr>
        <w:t xml:space="preserve">the </w:t>
      </w:r>
      <w:r w:rsidRPr="00151CB1">
        <w:rPr>
          <w:rFonts w:cstheme="minorHAnsi"/>
          <w:sz w:val="24"/>
          <w:szCs w:val="24"/>
        </w:rPr>
        <w:t>Confidential Duty Report authored by Brockley.</w:t>
      </w:r>
      <w:r>
        <w:rPr>
          <w:rStyle w:val="FootnoteReference"/>
          <w:rFonts w:cstheme="minorHAnsi"/>
          <w:sz w:val="24"/>
          <w:szCs w:val="24"/>
        </w:rPr>
        <w:footnoteReference w:id="121"/>
      </w:r>
    </w:p>
    <w:p w:rsidR="00F1010F" w:rsidRPr="00F1010F" w:rsidRDefault="00F1010F" w:rsidP="00C94ECF">
      <w:pPr>
        <w:pStyle w:val="ListParagraph"/>
        <w:rPr>
          <w:rFonts w:cstheme="minorHAnsi"/>
          <w:sz w:val="24"/>
          <w:szCs w:val="24"/>
        </w:rPr>
      </w:pPr>
    </w:p>
    <w:p w:rsidR="00532055" w:rsidRPr="00532055" w:rsidRDefault="00F1010F" w:rsidP="00C94ECF">
      <w:pPr>
        <w:pStyle w:val="ListParagraph"/>
        <w:numPr>
          <w:ilvl w:val="0"/>
          <w:numId w:val="2"/>
        </w:numPr>
        <w:ind w:hanging="720"/>
        <w:rPr>
          <w:rFonts w:cstheme="minorHAnsi"/>
          <w:sz w:val="24"/>
          <w:szCs w:val="24"/>
        </w:rPr>
      </w:pPr>
      <w:r>
        <w:rPr>
          <w:rFonts w:cstheme="minorHAnsi"/>
          <w:sz w:val="24"/>
          <w:szCs w:val="24"/>
        </w:rPr>
        <w:t>T</w:t>
      </w:r>
      <w:r w:rsidR="00532055">
        <w:rPr>
          <w:rFonts w:cstheme="minorHAnsi"/>
          <w:sz w:val="24"/>
          <w:szCs w:val="24"/>
        </w:rPr>
        <w:t xml:space="preserve">here is not a single mentioning of </w:t>
      </w:r>
      <w:r w:rsidR="00532055" w:rsidRPr="00151CB1">
        <w:rPr>
          <w:rFonts w:cstheme="minorHAnsi"/>
          <w:sz w:val="24"/>
          <w:szCs w:val="24"/>
        </w:rPr>
        <w:t>those alleged 13 phone calls</w:t>
      </w:r>
      <w:r w:rsidR="00532055">
        <w:rPr>
          <w:rFonts w:cstheme="minorHAnsi"/>
          <w:sz w:val="24"/>
          <w:szCs w:val="24"/>
        </w:rPr>
        <w:t xml:space="preserve"> in the </w:t>
      </w:r>
      <w:r w:rsidR="00532055" w:rsidRPr="00C16494">
        <w:rPr>
          <w:rFonts w:cstheme="minorHAnsi"/>
          <w:sz w:val="24"/>
          <w:szCs w:val="24"/>
        </w:rPr>
        <w:t xml:space="preserve">PSB Investigation report </w:t>
      </w:r>
      <w:r w:rsidR="00532055">
        <w:rPr>
          <w:rFonts w:cstheme="minorHAnsi"/>
          <w:sz w:val="24"/>
          <w:szCs w:val="24"/>
        </w:rPr>
        <w:t xml:space="preserve">prepared </w:t>
      </w:r>
      <w:r w:rsidR="00532055" w:rsidRPr="00C16494">
        <w:rPr>
          <w:rFonts w:cstheme="minorHAnsi"/>
          <w:sz w:val="24"/>
          <w:szCs w:val="24"/>
        </w:rPr>
        <w:t xml:space="preserve">by </w:t>
      </w:r>
      <w:r w:rsidR="00532055">
        <w:rPr>
          <w:rFonts w:cstheme="minorHAnsi"/>
          <w:sz w:val="24"/>
          <w:szCs w:val="24"/>
        </w:rPr>
        <w:t xml:space="preserve">D/Sgt. </w:t>
      </w:r>
      <w:proofErr w:type="spellStart"/>
      <w:r w:rsidR="00532055">
        <w:rPr>
          <w:rFonts w:cstheme="minorHAnsi"/>
          <w:sz w:val="24"/>
          <w:szCs w:val="24"/>
        </w:rPr>
        <w:t>Tym</w:t>
      </w:r>
      <w:proofErr w:type="spellEnd"/>
      <w:r w:rsidR="00532055">
        <w:rPr>
          <w:rFonts w:cstheme="minorHAnsi"/>
          <w:sz w:val="24"/>
          <w:szCs w:val="24"/>
        </w:rPr>
        <w:t xml:space="preserve"> </w:t>
      </w:r>
      <w:r w:rsidR="00532055" w:rsidRPr="00C16494">
        <w:rPr>
          <w:rFonts w:cstheme="minorHAnsi"/>
          <w:sz w:val="24"/>
          <w:szCs w:val="24"/>
        </w:rPr>
        <w:t>Thompson</w:t>
      </w:r>
      <w:r>
        <w:rPr>
          <w:rFonts w:cstheme="minorHAnsi"/>
          <w:sz w:val="24"/>
          <w:szCs w:val="24"/>
        </w:rPr>
        <w:t>.</w:t>
      </w:r>
      <w:r w:rsidR="00532055">
        <w:rPr>
          <w:rStyle w:val="FootnoteReference"/>
          <w:rFonts w:cstheme="minorHAnsi"/>
          <w:sz w:val="24"/>
          <w:szCs w:val="24"/>
        </w:rPr>
        <w:footnoteReference w:id="122"/>
      </w:r>
    </w:p>
    <w:p w:rsidR="00151CB1" w:rsidRDefault="00151CB1" w:rsidP="002A35AE">
      <w:pPr>
        <w:pStyle w:val="ListParagraph"/>
        <w:spacing w:line="240" w:lineRule="auto"/>
        <w:rPr>
          <w:rFonts w:cstheme="minorHAnsi"/>
          <w:sz w:val="24"/>
          <w:szCs w:val="24"/>
        </w:rPr>
      </w:pPr>
    </w:p>
    <w:p w:rsidR="00F1010F" w:rsidRPr="00F1010F" w:rsidRDefault="00F1010F" w:rsidP="00C94ECF">
      <w:pPr>
        <w:pStyle w:val="ListParagraph"/>
        <w:numPr>
          <w:ilvl w:val="0"/>
          <w:numId w:val="2"/>
        </w:numPr>
        <w:ind w:hanging="720"/>
        <w:rPr>
          <w:rFonts w:cstheme="minorHAnsi"/>
          <w:sz w:val="24"/>
          <w:szCs w:val="24"/>
        </w:rPr>
      </w:pPr>
      <w:r>
        <w:rPr>
          <w:rFonts w:cstheme="minorHAnsi"/>
          <w:sz w:val="24"/>
          <w:szCs w:val="24"/>
        </w:rPr>
        <w:t>Furthermore, t</w:t>
      </w:r>
      <w:r w:rsidRPr="00C26D93">
        <w:rPr>
          <w:rFonts w:cstheme="minorHAnsi"/>
          <w:sz w:val="24"/>
          <w:szCs w:val="24"/>
        </w:rPr>
        <w:t>he Charter makes it</w:t>
      </w:r>
      <w:r>
        <w:rPr>
          <w:rFonts w:cstheme="minorHAnsi"/>
          <w:sz w:val="24"/>
          <w:szCs w:val="24"/>
        </w:rPr>
        <w:t xml:space="preserve"> very</w:t>
      </w:r>
      <w:r w:rsidRPr="00C26D93">
        <w:rPr>
          <w:rFonts w:cstheme="minorHAnsi"/>
          <w:sz w:val="24"/>
          <w:szCs w:val="24"/>
        </w:rPr>
        <w:t xml:space="preserve"> clear that a citizen is protected from unreasonable search and seizure. For police to obtain telephone records of a citizen they need judicial authorization unless the citizen provides consent</w:t>
      </w:r>
      <w:r w:rsidR="009C74F1">
        <w:rPr>
          <w:rFonts w:cstheme="minorHAnsi"/>
          <w:sz w:val="24"/>
          <w:szCs w:val="24"/>
        </w:rPr>
        <w:t xml:space="preserve">. </w:t>
      </w:r>
      <w:r w:rsidRPr="00C26D93">
        <w:rPr>
          <w:rFonts w:cstheme="minorHAnsi"/>
          <w:sz w:val="24"/>
          <w:szCs w:val="24"/>
        </w:rPr>
        <w:t xml:space="preserve">Aside from this section 8 violation what is also alarming is that </w:t>
      </w:r>
      <w:r>
        <w:rPr>
          <w:rFonts w:cstheme="minorHAnsi"/>
          <w:sz w:val="24"/>
          <w:szCs w:val="24"/>
        </w:rPr>
        <w:t xml:space="preserve">according to Brockley’s testimony </w:t>
      </w:r>
      <w:r w:rsidRPr="00C26D93">
        <w:rPr>
          <w:rFonts w:cstheme="minorHAnsi"/>
          <w:sz w:val="24"/>
          <w:szCs w:val="24"/>
        </w:rPr>
        <w:t xml:space="preserve">this judicial authorization was in </w:t>
      </w:r>
      <w:r w:rsidRPr="00C26D93">
        <w:rPr>
          <w:rFonts w:cstheme="minorHAnsi"/>
          <w:sz w:val="24"/>
          <w:szCs w:val="24"/>
        </w:rPr>
        <w:lastRenderedPageBreak/>
        <w:t xml:space="preserve">existence in 2009 and yet the </w:t>
      </w:r>
      <w:r>
        <w:rPr>
          <w:rFonts w:cstheme="minorHAnsi"/>
          <w:sz w:val="24"/>
          <w:szCs w:val="24"/>
        </w:rPr>
        <w:t>Respondent</w:t>
      </w:r>
      <w:r w:rsidRPr="00C26D93">
        <w:rPr>
          <w:rFonts w:cstheme="minorHAnsi"/>
          <w:sz w:val="24"/>
          <w:szCs w:val="24"/>
        </w:rPr>
        <w:t xml:space="preserve"> failed to disclose a copy of it. </w:t>
      </w:r>
      <w:r>
        <w:rPr>
          <w:rFonts w:cstheme="minorHAnsi"/>
          <w:sz w:val="24"/>
          <w:szCs w:val="24"/>
        </w:rPr>
        <w:t>Obviously, because it never existed in the first place.</w:t>
      </w:r>
    </w:p>
    <w:p w:rsidR="00F1010F" w:rsidRPr="00151CB1" w:rsidRDefault="00F1010F" w:rsidP="00C94ECF">
      <w:pPr>
        <w:pStyle w:val="ListParagraph"/>
        <w:rPr>
          <w:rFonts w:cstheme="minorHAnsi"/>
          <w:sz w:val="24"/>
          <w:szCs w:val="24"/>
        </w:rPr>
      </w:pPr>
    </w:p>
    <w:p w:rsidR="001866F7" w:rsidRPr="001866F7" w:rsidRDefault="00CE398F" w:rsidP="00705095">
      <w:pPr>
        <w:pStyle w:val="ListParagraph"/>
        <w:numPr>
          <w:ilvl w:val="0"/>
          <w:numId w:val="2"/>
        </w:numPr>
        <w:ind w:hanging="720"/>
        <w:rPr>
          <w:rFonts w:cstheme="minorHAnsi"/>
          <w:sz w:val="24"/>
          <w:szCs w:val="24"/>
        </w:rPr>
      </w:pPr>
      <w:r w:rsidRPr="00151CB1">
        <w:rPr>
          <w:rFonts w:cstheme="minorHAnsi"/>
          <w:sz w:val="24"/>
          <w:szCs w:val="24"/>
        </w:rPr>
        <w:t>Hence</w:t>
      </w:r>
      <w:r w:rsidR="00D53D84">
        <w:rPr>
          <w:rFonts w:cstheme="minorHAnsi"/>
          <w:sz w:val="24"/>
          <w:szCs w:val="24"/>
        </w:rPr>
        <w:t>,</w:t>
      </w:r>
      <w:r w:rsidRPr="00151CB1">
        <w:rPr>
          <w:rFonts w:cstheme="minorHAnsi"/>
          <w:sz w:val="24"/>
          <w:szCs w:val="24"/>
        </w:rPr>
        <w:t xml:space="preserve"> when Brockley </w:t>
      </w:r>
      <w:r w:rsidR="007C4CFE">
        <w:rPr>
          <w:rFonts w:cstheme="minorHAnsi"/>
          <w:sz w:val="24"/>
          <w:szCs w:val="24"/>
        </w:rPr>
        <w:t>states</w:t>
      </w:r>
      <w:r w:rsidRPr="00151CB1">
        <w:rPr>
          <w:rFonts w:cstheme="minorHAnsi"/>
          <w:sz w:val="24"/>
          <w:szCs w:val="24"/>
        </w:rPr>
        <w:t xml:space="preserve"> in his </w:t>
      </w:r>
      <w:r w:rsidR="00CA3153">
        <w:rPr>
          <w:rFonts w:cstheme="minorHAnsi"/>
          <w:sz w:val="24"/>
          <w:szCs w:val="24"/>
        </w:rPr>
        <w:t xml:space="preserve">second </w:t>
      </w:r>
      <w:r w:rsidR="000E0E0C">
        <w:rPr>
          <w:rFonts w:cstheme="minorHAnsi"/>
          <w:sz w:val="24"/>
          <w:szCs w:val="24"/>
        </w:rPr>
        <w:t>w</w:t>
      </w:r>
      <w:r w:rsidR="00D53D84">
        <w:rPr>
          <w:rFonts w:cstheme="minorHAnsi"/>
          <w:sz w:val="24"/>
          <w:szCs w:val="24"/>
        </w:rPr>
        <w:t>ill-</w:t>
      </w:r>
      <w:r w:rsidRPr="00151CB1">
        <w:rPr>
          <w:rFonts w:cstheme="minorHAnsi"/>
          <w:sz w:val="24"/>
          <w:szCs w:val="24"/>
        </w:rPr>
        <w:t xml:space="preserve">say that was </w:t>
      </w:r>
      <w:r w:rsidR="007C4CFE">
        <w:rPr>
          <w:rFonts w:cstheme="minorHAnsi"/>
          <w:sz w:val="24"/>
          <w:szCs w:val="24"/>
        </w:rPr>
        <w:t xml:space="preserve">so </w:t>
      </w:r>
      <w:r w:rsidR="007C4CFE" w:rsidRPr="000E0E0C">
        <w:rPr>
          <w:rFonts w:cstheme="minorHAnsi"/>
          <w:sz w:val="24"/>
          <w:szCs w:val="24"/>
        </w:rPr>
        <w:t>underhandedly</w:t>
      </w:r>
      <w:r w:rsidR="007C4CFE">
        <w:rPr>
          <w:rFonts w:cstheme="minorHAnsi"/>
          <w:sz w:val="24"/>
          <w:szCs w:val="24"/>
        </w:rPr>
        <w:t xml:space="preserve"> </w:t>
      </w:r>
      <w:r w:rsidRPr="00151CB1">
        <w:rPr>
          <w:rFonts w:cstheme="minorHAnsi"/>
          <w:sz w:val="24"/>
          <w:szCs w:val="24"/>
        </w:rPr>
        <w:t xml:space="preserve">shared with the </w:t>
      </w:r>
      <w:r w:rsidR="00902709">
        <w:rPr>
          <w:rFonts w:cstheme="minorHAnsi"/>
          <w:sz w:val="24"/>
          <w:szCs w:val="24"/>
        </w:rPr>
        <w:t>Applicant</w:t>
      </w:r>
      <w:r w:rsidRPr="00151CB1">
        <w:rPr>
          <w:rFonts w:cstheme="minorHAnsi"/>
          <w:sz w:val="24"/>
          <w:szCs w:val="24"/>
        </w:rPr>
        <w:t xml:space="preserve"> </w:t>
      </w:r>
      <w:r w:rsidR="00D53D84">
        <w:rPr>
          <w:rFonts w:cstheme="minorHAnsi"/>
          <w:sz w:val="24"/>
          <w:szCs w:val="24"/>
        </w:rPr>
        <w:t xml:space="preserve">on </w:t>
      </w:r>
      <w:r w:rsidRPr="00151CB1">
        <w:rPr>
          <w:rFonts w:cstheme="minorHAnsi"/>
          <w:sz w:val="24"/>
          <w:szCs w:val="24"/>
        </w:rPr>
        <w:t>February 10, 2016</w:t>
      </w:r>
      <w:r w:rsidR="00D53D84">
        <w:rPr>
          <w:rFonts w:cstheme="minorHAnsi"/>
          <w:sz w:val="24"/>
          <w:szCs w:val="24"/>
        </w:rPr>
        <w:t>,</w:t>
      </w:r>
      <w:r w:rsidRPr="00151CB1">
        <w:rPr>
          <w:rFonts w:cstheme="minorHAnsi"/>
          <w:sz w:val="24"/>
          <w:szCs w:val="24"/>
        </w:rPr>
        <w:t xml:space="preserve"> that he learned of the 13 phone </w:t>
      </w:r>
      <w:r w:rsidR="00F1010F">
        <w:rPr>
          <w:rFonts w:cstheme="minorHAnsi"/>
          <w:sz w:val="24"/>
          <w:szCs w:val="24"/>
        </w:rPr>
        <w:t xml:space="preserve">calls in January 2013 then the </w:t>
      </w:r>
      <w:r w:rsidRPr="00151CB1">
        <w:rPr>
          <w:rFonts w:cstheme="minorHAnsi"/>
          <w:sz w:val="24"/>
          <w:szCs w:val="24"/>
        </w:rPr>
        <w:t xml:space="preserve">portion of his </w:t>
      </w:r>
      <w:r w:rsidR="00CA3153">
        <w:rPr>
          <w:rFonts w:cstheme="minorHAnsi"/>
          <w:sz w:val="24"/>
          <w:szCs w:val="24"/>
        </w:rPr>
        <w:t xml:space="preserve">verbal </w:t>
      </w:r>
      <w:r w:rsidRPr="00151CB1">
        <w:rPr>
          <w:rFonts w:cstheme="minorHAnsi"/>
          <w:sz w:val="24"/>
          <w:szCs w:val="24"/>
        </w:rPr>
        <w:t xml:space="preserve">testimony relating to the 13 </w:t>
      </w:r>
      <w:r w:rsidR="00151CB1" w:rsidRPr="00151CB1">
        <w:rPr>
          <w:rFonts w:cstheme="minorHAnsi"/>
          <w:sz w:val="24"/>
          <w:szCs w:val="24"/>
        </w:rPr>
        <w:t>phone</w:t>
      </w:r>
      <w:r w:rsidRPr="00151CB1">
        <w:rPr>
          <w:rFonts w:cstheme="minorHAnsi"/>
          <w:sz w:val="24"/>
          <w:szCs w:val="24"/>
        </w:rPr>
        <w:t xml:space="preserve"> calls is nothing but perjury for </w:t>
      </w:r>
      <w:r w:rsidR="00705095">
        <w:rPr>
          <w:rFonts w:cstheme="minorHAnsi"/>
          <w:sz w:val="24"/>
          <w:szCs w:val="24"/>
        </w:rPr>
        <w:t>Brockley</w:t>
      </w:r>
      <w:r w:rsidRPr="00151CB1">
        <w:rPr>
          <w:rFonts w:cstheme="minorHAnsi"/>
          <w:sz w:val="24"/>
          <w:szCs w:val="24"/>
        </w:rPr>
        <w:t xml:space="preserve"> would hav</w:t>
      </w:r>
      <w:r w:rsidR="00532055">
        <w:rPr>
          <w:rFonts w:cstheme="minorHAnsi"/>
          <w:sz w:val="24"/>
          <w:szCs w:val="24"/>
        </w:rPr>
        <w:t xml:space="preserve">e had no knowledge of the </w:t>
      </w:r>
      <w:r w:rsidR="00F1010F">
        <w:rPr>
          <w:rFonts w:cstheme="minorHAnsi"/>
          <w:sz w:val="24"/>
          <w:szCs w:val="24"/>
        </w:rPr>
        <w:t xml:space="preserve">13 phone </w:t>
      </w:r>
      <w:r w:rsidR="00532055">
        <w:rPr>
          <w:rFonts w:cstheme="minorHAnsi"/>
          <w:sz w:val="24"/>
          <w:szCs w:val="24"/>
        </w:rPr>
        <w:t>calls in</w:t>
      </w:r>
      <w:r w:rsidR="000E0E0C">
        <w:rPr>
          <w:rFonts w:cstheme="minorHAnsi"/>
          <w:sz w:val="24"/>
          <w:szCs w:val="24"/>
        </w:rPr>
        <w:t xml:space="preserve"> the</w:t>
      </w:r>
      <w:r w:rsidR="00532055">
        <w:rPr>
          <w:rFonts w:cstheme="minorHAnsi"/>
          <w:sz w:val="24"/>
          <w:szCs w:val="24"/>
        </w:rPr>
        <w:t xml:space="preserve"> year 2009.</w:t>
      </w:r>
    </w:p>
    <w:p w:rsidR="001866F7" w:rsidRPr="001866F7" w:rsidRDefault="001866F7" w:rsidP="00C94ECF">
      <w:pPr>
        <w:pStyle w:val="ListParagraph"/>
        <w:rPr>
          <w:rFonts w:cstheme="minorHAnsi"/>
          <w:sz w:val="24"/>
          <w:szCs w:val="24"/>
        </w:rPr>
      </w:pPr>
    </w:p>
    <w:p w:rsidR="00151CB1" w:rsidRDefault="003634C8" w:rsidP="007714D5">
      <w:pPr>
        <w:pStyle w:val="ListParagraph"/>
        <w:numPr>
          <w:ilvl w:val="0"/>
          <w:numId w:val="2"/>
        </w:numPr>
        <w:ind w:hanging="720"/>
        <w:rPr>
          <w:rFonts w:cstheme="minorHAnsi"/>
          <w:sz w:val="24"/>
          <w:szCs w:val="24"/>
        </w:rPr>
      </w:pPr>
      <w:r w:rsidRPr="00151CB1">
        <w:rPr>
          <w:rFonts w:cstheme="minorHAnsi"/>
          <w:sz w:val="24"/>
          <w:szCs w:val="24"/>
        </w:rPr>
        <w:t xml:space="preserve">The only plausible explanation </w:t>
      </w:r>
      <w:r w:rsidR="00F1010F">
        <w:rPr>
          <w:rFonts w:cstheme="minorHAnsi"/>
          <w:sz w:val="24"/>
          <w:szCs w:val="24"/>
        </w:rPr>
        <w:t xml:space="preserve">for Brockley providing his </w:t>
      </w:r>
      <w:r w:rsidR="00CA3153">
        <w:rPr>
          <w:rFonts w:cstheme="minorHAnsi"/>
          <w:sz w:val="24"/>
          <w:szCs w:val="24"/>
        </w:rPr>
        <w:t>second</w:t>
      </w:r>
      <w:r w:rsidR="00F1010F">
        <w:rPr>
          <w:rFonts w:cstheme="minorHAnsi"/>
          <w:sz w:val="24"/>
          <w:szCs w:val="24"/>
        </w:rPr>
        <w:t xml:space="preserve"> </w:t>
      </w:r>
      <w:r w:rsidR="000E0E0C">
        <w:rPr>
          <w:rFonts w:cstheme="minorHAnsi"/>
          <w:sz w:val="24"/>
          <w:szCs w:val="24"/>
        </w:rPr>
        <w:t>w</w:t>
      </w:r>
      <w:r w:rsidR="00F1010F">
        <w:rPr>
          <w:rFonts w:cstheme="minorHAnsi"/>
          <w:sz w:val="24"/>
          <w:szCs w:val="24"/>
        </w:rPr>
        <w:t xml:space="preserve">ill-say </w:t>
      </w:r>
      <w:r w:rsidRPr="00151CB1">
        <w:rPr>
          <w:rFonts w:cstheme="minorHAnsi"/>
          <w:sz w:val="24"/>
          <w:szCs w:val="24"/>
        </w:rPr>
        <w:t xml:space="preserve">is that </w:t>
      </w:r>
      <w:r w:rsidR="00A93060" w:rsidRPr="00151CB1">
        <w:rPr>
          <w:rFonts w:cstheme="minorHAnsi"/>
          <w:sz w:val="24"/>
          <w:szCs w:val="24"/>
        </w:rPr>
        <w:t>because the</w:t>
      </w:r>
      <w:r w:rsidRPr="00151CB1">
        <w:rPr>
          <w:rFonts w:cstheme="minorHAnsi"/>
          <w:sz w:val="24"/>
          <w:szCs w:val="24"/>
        </w:rPr>
        <w:t xml:space="preserve"> </w:t>
      </w:r>
      <w:r w:rsidR="00902709">
        <w:rPr>
          <w:rFonts w:cstheme="minorHAnsi"/>
          <w:sz w:val="24"/>
          <w:szCs w:val="24"/>
        </w:rPr>
        <w:t>Applicant</w:t>
      </w:r>
      <w:r w:rsidRPr="00151CB1">
        <w:rPr>
          <w:rFonts w:cstheme="minorHAnsi"/>
          <w:sz w:val="24"/>
          <w:szCs w:val="24"/>
        </w:rPr>
        <w:t xml:space="preserve"> testified extensively </w:t>
      </w:r>
      <w:r w:rsidR="00EA0510">
        <w:rPr>
          <w:rFonts w:cstheme="minorHAnsi"/>
          <w:sz w:val="24"/>
          <w:szCs w:val="24"/>
        </w:rPr>
        <w:t>in his anticipated evidence</w:t>
      </w:r>
      <w:r w:rsidR="00EA0510">
        <w:rPr>
          <w:rStyle w:val="FootnoteReference"/>
          <w:rFonts w:cstheme="minorHAnsi"/>
          <w:sz w:val="24"/>
          <w:szCs w:val="24"/>
        </w:rPr>
        <w:footnoteReference w:id="123"/>
      </w:r>
      <w:r w:rsidR="00EA0510">
        <w:rPr>
          <w:rFonts w:cstheme="minorHAnsi"/>
          <w:sz w:val="24"/>
          <w:szCs w:val="24"/>
        </w:rPr>
        <w:t xml:space="preserve"> and in his verbal testimony </w:t>
      </w:r>
      <w:r w:rsidRPr="00151CB1">
        <w:rPr>
          <w:rFonts w:cstheme="minorHAnsi"/>
          <w:sz w:val="24"/>
          <w:szCs w:val="24"/>
        </w:rPr>
        <w:t xml:space="preserve">about the maliciousness of </w:t>
      </w:r>
      <w:r w:rsidR="003B1467">
        <w:rPr>
          <w:rFonts w:cstheme="minorHAnsi"/>
          <w:sz w:val="24"/>
          <w:szCs w:val="24"/>
        </w:rPr>
        <w:t xml:space="preserve">that </w:t>
      </w:r>
      <w:r w:rsidRPr="00151CB1">
        <w:rPr>
          <w:rFonts w:cstheme="minorHAnsi"/>
          <w:sz w:val="24"/>
          <w:szCs w:val="24"/>
        </w:rPr>
        <w:t>internal complaint during his examination-in-chief i</w:t>
      </w:r>
      <w:r w:rsidR="00D53D84">
        <w:rPr>
          <w:rFonts w:cstheme="minorHAnsi"/>
          <w:sz w:val="24"/>
          <w:szCs w:val="24"/>
        </w:rPr>
        <w:t>n November 2012</w:t>
      </w:r>
      <w:r w:rsidR="00F1010F">
        <w:rPr>
          <w:rFonts w:cstheme="minorHAnsi"/>
          <w:sz w:val="24"/>
          <w:szCs w:val="24"/>
        </w:rPr>
        <w:t>. T</w:t>
      </w:r>
      <w:r w:rsidR="00D53D84">
        <w:rPr>
          <w:rFonts w:cstheme="minorHAnsi"/>
          <w:sz w:val="24"/>
          <w:szCs w:val="24"/>
        </w:rPr>
        <w:t xml:space="preserve">he </w:t>
      </w:r>
      <w:r w:rsidR="003B1467">
        <w:rPr>
          <w:rFonts w:cstheme="minorHAnsi"/>
          <w:sz w:val="24"/>
          <w:szCs w:val="24"/>
        </w:rPr>
        <w:t>i</w:t>
      </w:r>
      <w:r w:rsidRPr="00151CB1">
        <w:rPr>
          <w:rFonts w:cstheme="minorHAnsi"/>
          <w:sz w:val="24"/>
          <w:szCs w:val="24"/>
        </w:rPr>
        <w:t xml:space="preserve">nformation from </w:t>
      </w:r>
      <w:r w:rsidR="00F1010F">
        <w:rPr>
          <w:rFonts w:cstheme="minorHAnsi"/>
          <w:sz w:val="24"/>
          <w:szCs w:val="24"/>
        </w:rPr>
        <w:t xml:space="preserve">the </w:t>
      </w:r>
      <w:r w:rsidR="00902709">
        <w:rPr>
          <w:rFonts w:cstheme="minorHAnsi"/>
          <w:sz w:val="24"/>
          <w:szCs w:val="24"/>
        </w:rPr>
        <w:t>Applicant</w:t>
      </w:r>
      <w:r w:rsidR="00F1010F">
        <w:rPr>
          <w:rFonts w:cstheme="minorHAnsi"/>
          <w:sz w:val="24"/>
          <w:szCs w:val="24"/>
        </w:rPr>
        <w:t>’s</w:t>
      </w:r>
      <w:r w:rsidRPr="00151CB1">
        <w:rPr>
          <w:rFonts w:cstheme="minorHAnsi"/>
          <w:sz w:val="24"/>
          <w:szCs w:val="24"/>
        </w:rPr>
        <w:t xml:space="preserve"> testimony was forwarded to the potential witnesses, one of them being</w:t>
      </w:r>
      <w:r w:rsidR="00A93060" w:rsidRPr="00151CB1">
        <w:rPr>
          <w:rFonts w:cstheme="minorHAnsi"/>
          <w:sz w:val="24"/>
          <w:szCs w:val="24"/>
        </w:rPr>
        <w:t xml:space="preserve"> Constable Brockley</w:t>
      </w:r>
      <w:r w:rsidR="003B1467">
        <w:rPr>
          <w:rFonts w:cstheme="minorHAnsi"/>
          <w:sz w:val="24"/>
          <w:szCs w:val="24"/>
        </w:rPr>
        <w:t xml:space="preserve">. </w:t>
      </w:r>
      <w:r w:rsidR="00A7513D" w:rsidRPr="00151CB1">
        <w:rPr>
          <w:rFonts w:cstheme="minorHAnsi"/>
          <w:sz w:val="24"/>
          <w:szCs w:val="24"/>
        </w:rPr>
        <w:t>Brockley</w:t>
      </w:r>
      <w:r w:rsidR="00A93060" w:rsidRPr="00151CB1">
        <w:rPr>
          <w:rFonts w:cstheme="minorHAnsi"/>
          <w:sz w:val="24"/>
          <w:szCs w:val="24"/>
        </w:rPr>
        <w:t xml:space="preserve"> </w:t>
      </w:r>
      <w:r w:rsidR="003B1467">
        <w:rPr>
          <w:rFonts w:cstheme="minorHAnsi"/>
          <w:sz w:val="24"/>
          <w:szCs w:val="24"/>
        </w:rPr>
        <w:t xml:space="preserve">then </w:t>
      </w:r>
      <w:r w:rsidR="00A93060" w:rsidRPr="00151CB1">
        <w:rPr>
          <w:rFonts w:cstheme="minorHAnsi"/>
          <w:sz w:val="24"/>
          <w:szCs w:val="24"/>
        </w:rPr>
        <w:t xml:space="preserve">tried to </w:t>
      </w:r>
      <w:r w:rsidR="007714D5">
        <w:rPr>
          <w:rFonts w:cstheme="minorHAnsi"/>
          <w:sz w:val="24"/>
          <w:szCs w:val="24"/>
        </w:rPr>
        <w:t xml:space="preserve">retrospectively </w:t>
      </w:r>
      <w:r w:rsidR="00EA0510">
        <w:rPr>
          <w:rFonts w:cstheme="minorHAnsi"/>
          <w:sz w:val="24"/>
          <w:szCs w:val="24"/>
        </w:rPr>
        <w:t xml:space="preserve">justify his actions and potentially </w:t>
      </w:r>
      <w:r w:rsidR="00A93060" w:rsidRPr="00151CB1">
        <w:rPr>
          <w:rFonts w:cstheme="minorHAnsi"/>
          <w:sz w:val="24"/>
          <w:szCs w:val="24"/>
        </w:rPr>
        <w:t xml:space="preserve">extricate himself from the liability of initiating a false and unsubstantiated complaint. </w:t>
      </w:r>
      <w:r w:rsidRPr="00151CB1">
        <w:rPr>
          <w:rFonts w:cstheme="minorHAnsi"/>
          <w:sz w:val="24"/>
          <w:szCs w:val="24"/>
        </w:rPr>
        <w:t xml:space="preserve">Hence, in his </w:t>
      </w:r>
      <w:r w:rsidR="007714D5">
        <w:rPr>
          <w:rFonts w:cstheme="minorHAnsi"/>
          <w:sz w:val="24"/>
          <w:szCs w:val="24"/>
        </w:rPr>
        <w:t>W</w:t>
      </w:r>
      <w:r w:rsidRPr="00151CB1">
        <w:rPr>
          <w:rFonts w:cstheme="minorHAnsi"/>
          <w:sz w:val="24"/>
          <w:szCs w:val="24"/>
        </w:rPr>
        <w:t>ill-say Brock</w:t>
      </w:r>
      <w:r w:rsidR="003B1467">
        <w:rPr>
          <w:rFonts w:cstheme="minorHAnsi"/>
          <w:sz w:val="24"/>
          <w:szCs w:val="24"/>
        </w:rPr>
        <w:t>ley</w:t>
      </w:r>
      <w:r w:rsidRPr="00151CB1">
        <w:rPr>
          <w:rFonts w:cstheme="minorHAnsi"/>
          <w:sz w:val="24"/>
          <w:szCs w:val="24"/>
        </w:rPr>
        <w:t xml:space="preserve"> states that ONLY on January 9</w:t>
      </w:r>
      <w:r w:rsidR="00A93060" w:rsidRPr="00151CB1">
        <w:rPr>
          <w:rFonts w:cstheme="minorHAnsi"/>
          <w:sz w:val="24"/>
          <w:szCs w:val="24"/>
        </w:rPr>
        <w:t>,</w:t>
      </w:r>
      <w:r w:rsidRPr="00151CB1">
        <w:rPr>
          <w:rFonts w:cstheme="minorHAnsi"/>
          <w:sz w:val="24"/>
          <w:szCs w:val="24"/>
        </w:rPr>
        <w:t xml:space="preserve"> 2013, he attempted to check if the </w:t>
      </w:r>
      <w:r w:rsidR="00902709">
        <w:rPr>
          <w:rFonts w:cstheme="minorHAnsi"/>
          <w:sz w:val="24"/>
          <w:szCs w:val="24"/>
        </w:rPr>
        <w:t>Applicant</w:t>
      </w:r>
      <w:r w:rsidRPr="00151CB1">
        <w:rPr>
          <w:rFonts w:cstheme="minorHAnsi"/>
          <w:sz w:val="24"/>
          <w:szCs w:val="24"/>
        </w:rPr>
        <w:t>’s phone was ever used to contact the so called ‘Undesirables’</w:t>
      </w:r>
      <w:r w:rsidR="003B1467">
        <w:rPr>
          <w:rFonts w:cstheme="minorHAnsi"/>
          <w:sz w:val="24"/>
          <w:szCs w:val="24"/>
        </w:rPr>
        <w:t xml:space="preserve"> possibly believing that if a hit or match does come up then he could testify that it wasn’t just the </w:t>
      </w:r>
      <w:r w:rsidR="00F1010F">
        <w:rPr>
          <w:rFonts w:cstheme="minorHAnsi"/>
          <w:sz w:val="24"/>
          <w:szCs w:val="24"/>
        </w:rPr>
        <w:t xml:space="preserve">alleged </w:t>
      </w:r>
      <w:r w:rsidR="003B1467">
        <w:rPr>
          <w:rFonts w:cstheme="minorHAnsi"/>
          <w:sz w:val="24"/>
          <w:szCs w:val="24"/>
        </w:rPr>
        <w:t xml:space="preserve">running of the </w:t>
      </w:r>
      <w:r w:rsidR="00CA3153">
        <w:rPr>
          <w:rFonts w:cstheme="minorHAnsi"/>
          <w:sz w:val="24"/>
          <w:szCs w:val="24"/>
        </w:rPr>
        <w:t xml:space="preserve">license </w:t>
      </w:r>
      <w:r w:rsidR="003B1467">
        <w:rPr>
          <w:rFonts w:cstheme="minorHAnsi"/>
          <w:sz w:val="24"/>
          <w:szCs w:val="24"/>
        </w:rPr>
        <w:t xml:space="preserve">plate </w:t>
      </w:r>
      <w:r w:rsidR="00F1010F">
        <w:rPr>
          <w:rFonts w:cstheme="minorHAnsi"/>
          <w:sz w:val="24"/>
          <w:szCs w:val="24"/>
        </w:rPr>
        <w:t>and the six year old photograph</w:t>
      </w:r>
      <w:r w:rsidR="00705095">
        <w:rPr>
          <w:rFonts w:cstheme="minorHAnsi"/>
          <w:sz w:val="24"/>
          <w:szCs w:val="24"/>
        </w:rPr>
        <w:t>,</w:t>
      </w:r>
      <w:r w:rsidR="00F1010F">
        <w:rPr>
          <w:rFonts w:cstheme="minorHAnsi"/>
          <w:sz w:val="24"/>
          <w:szCs w:val="24"/>
        </w:rPr>
        <w:t xml:space="preserve"> </w:t>
      </w:r>
      <w:r w:rsidR="003B1467">
        <w:rPr>
          <w:rFonts w:cstheme="minorHAnsi"/>
          <w:sz w:val="24"/>
          <w:szCs w:val="24"/>
        </w:rPr>
        <w:t xml:space="preserve">but also </w:t>
      </w:r>
      <w:r w:rsidR="00DC135F">
        <w:rPr>
          <w:rFonts w:cstheme="minorHAnsi"/>
          <w:sz w:val="24"/>
          <w:szCs w:val="24"/>
        </w:rPr>
        <w:t xml:space="preserve">the </w:t>
      </w:r>
      <w:r w:rsidR="00E62317">
        <w:rPr>
          <w:rFonts w:cstheme="minorHAnsi"/>
          <w:sz w:val="24"/>
          <w:szCs w:val="24"/>
        </w:rPr>
        <w:t>phone calls.</w:t>
      </w:r>
    </w:p>
    <w:p w:rsidR="00F50B7A" w:rsidRDefault="00F50B7A" w:rsidP="00C94ECF">
      <w:pPr>
        <w:pStyle w:val="ListParagraph"/>
        <w:rPr>
          <w:rFonts w:cstheme="minorHAnsi"/>
          <w:sz w:val="24"/>
          <w:szCs w:val="24"/>
        </w:rPr>
      </w:pPr>
    </w:p>
    <w:p w:rsidR="00F50B7A" w:rsidRPr="00F50B7A" w:rsidRDefault="00F50B7A" w:rsidP="00C94ECF">
      <w:pPr>
        <w:pStyle w:val="ListParagraph"/>
        <w:numPr>
          <w:ilvl w:val="0"/>
          <w:numId w:val="2"/>
        </w:numPr>
        <w:ind w:hanging="720"/>
        <w:rPr>
          <w:rFonts w:cstheme="minorHAnsi"/>
          <w:sz w:val="24"/>
          <w:szCs w:val="24"/>
        </w:rPr>
      </w:pPr>
      <w:r w:rsidRPr="00151CB1">
        <w:rPr>
          <w:rFonts w:cstheme="minorHAnsi"/>
          <w:sz w:val="24"/>
          <w:szCs w:val="24"/>
        </w:rPr>
        <w:t xml:space="preserve">Last but not least, assuming those </w:t>
      </w:r>
      <w:r>
        <w:rPr>
          <w:rFonts w:cstheme="minorHAnsi"/>
          <w:sz w:val="24"/>
          <w:szCs w:val="24"/>
        </w:rPr>
        <w:t xml:space="preserve">alleged </w:t>
      </w:r>
      <w:r w:rsidRPr="00151CB1">
        <w:rPr>
          <w:rFonts w:cstheme="minorHAnsi"/>
          <w:sz w:val="24"/>
          <w:szCs w:val="24"/>
        </w:rPr>
        <w:t xml:space="preserve">13 phone calls were indeed made, then according to Brockley’s </w:t>
      </w:r>
      <w:r w:rsidR="000E0E0C">
        <w:rPr>
          <w:rFonts w:cstheme="minorHAnsi"/>
          <w:sz w:val="24"/>
          <w:szCs w:val="24"/>
        </w:rPr>
        <w:t>w</w:t>
      </w:r>
      <w:r w:rsidRPr="00151CB1">
        <w:rPr>
          <w:rFonts w:cstheme="minorHAnsi"/>
          <w:sz w:val="24"/>
          <w:szCs w:val="24"/>
        </w:rPr>
        <w:t xml:space="preserve">ill-say they were made between June 23, 2008, and July 16, 2008. Hence, </w:t>
      </w:r>
      <w:r w:rsidR="00DC135F">
        <w:rPr>
          <w:rFonts w:cstheme="minorHAnsi"/>
          <w:sz w:val="24"/>
          <w:szCs w:val="24"/>
        </w:rPr>
        <w:t xml:space="preserve">they </w:t>
      </w:r>
      <w:r w:rsidRPr="00151CB1">
        <w:rPr>
          <w:rFonts w:cstheme="minorHAnsi"/>
          <w:sz w:val="24"/>
          <w:szCs w:val="24"/>
        </w:rPr>
        <w:t xml:space="preserve">were made before the </w:t>
      </w:r>
      <w:r w:rsidR="00902709">
        <w:rPr>
          <w:rFonts w:cstheme="minorHAnsi"/>
          <w:sz w:val="24"/>
          <w:szCs w:val="24"/>
        </w:rPr>
        <w:t>Applicant</w:t>
      </w:r>
      <w:r w:rsidRPr="00151CB1">
        <w:rPr>
          <w:rFonts w:cstheme="minorHAnsi"/>
          <w:sz w:val="24"/>
          <w:szCs w:val="24"/>
        </w:rPr>
        <w:t xml:space="preserve"> joined the OPP since the </w:t>
      </w:r>
      <w:r w:rsidR="00902709">
        <w:rPr>
          <w:rFonts w:cstheme="minorHAnsi"/>
          <w:sz w:val="24"/>
          <w:szCs w:val="24"/>
        </w:rPr>
        <w:t>Applicant</w:t>
      </w:r>
      <w:r w:rsidRPr="00151CB1">
        <w:rPr>
          <w:rFonts w:cstheme="minorHAnsi"/>
          <w:sz w:val="24"/>
          <w:szCs w:val="24"/>
        </w:rPr>
        <w:t xml:space="preserve"> commenced his employment with the OPP on August 24</w:t>
      </w:r>
      <w:r w:rsidRPr="00151CB1">
        <w:rPr>
          <w:rFonts w:cstheme="minorHAnsi"/>
          <w:sz w:val="24"/>
          <w:szCs w:val="24"/>
          <w:vertAlign w:val="superscript"/>
        </w:rPr>
        <w:t>th</w:t>
      </w:r>
      <w:r w:rsidRPr="00151CB1">
        <w:rPr>
          <w:rFonts w:cstheme="minorHAnsi"/>
          <w:sz w:val="24"/>
          <w:szCs w:val="24"/>
        </w:rPr>
        <w:t>, 2008.</w:t>
      </w:r>
      <w:r>
        <w:rPr>
          <w:rStyle w:val="FootnoteReference"/>
          <w:rFonts w:cstheme="minorHAnsi"/>
          <w:sz w:val="24"/>
          <w:szCs w:val="24"/>
        </w:rPr>
        <w:footnoteReference w:id="124"/>
      </w:r>
      <w:r w:rsidRPr="00151CB1">
        <w:rPr>
          <w:rFonts w:cstheme="minorHAnsi"/>
          <w:sz w:val="24"/>
          <w:szCs w:val="24"/>
        </w:rPr>
        <w:t xml:space="preserve"> </w:t>
      </w:r>
    </w:p>
    <w:p w:rsidR="00F50B7A" w:rsidRPr="00F50B7A" w:rsidRDefault="00F50B7A" w:rsidP="00C94ECF">
      <w:pPr>
        <w:pStyle w:val="ListParagraph"/>
        <w:rPr>
          <w:rFonts w:cstheme="minorHAnsi"/>
          <w:sz w:val="24"/>
          <w:szCs w:val="24"/>
        </w:rPr>
      </w:pPr>
    </w:p>
    <w:p w:rsidR="00532055" w:rsidRPr="00C26D93" w:rsidRDefault="00532055" w:rsidP="00C94ECF">
      <w:pPr>
        <w:pStyle w:val="ListParagraph"/>
        <w:numPr>
          <w:ilvl w:val="0"/>
          <w:numId w:val="2"/>
        </w:numPr>
        <w:ind w:hanging="720"/>
        <w:rPr>
          <w:rFonts w:cstheme="minorHAnsi"/>
          <w:sz w:val="24"/>
          <w:szCs w:val="24"/>
        </w:rPr>
      </w:pPr>
      <w:r>
        <w:rPr>
          <w:rFonts w:cstheme="minorHAnsi"/>
          <w:sz w:val="24"/>
          <w:szCs w:val="24"/>
        </w:rPr>
        <w:t xml:space="preserve">This act of manipulation and perjury on the part of police witness Brockley was something that the </w:t>
      </w:r>
      <w:r w:rsidR="00902709">
        <w:rPr>
          <w:rFonts w:cstheme="minorHAnsi"/>
          <w:sz w:val="24"/>
          <w:szCs w:val="24"/>
        </w:rPr>
        <w:t>Applicant</w:t>
      </w:r>
      <w:r>
        <w:rPr>
          <w:rFonts w:cstheme="minorHAnsi"/>
          <w:sz w:val="24"/>
          <w:szCs w:val="24"/>
        </w:rPr>
        <w:t xml:space="preserve"> views as blasphemy. </w:t>
      </w:r>
    </w:p>
    <w:p w:rsidR="00532055" w:rsidRDefault="00532055" w:rsidP="00C94ECF">
      <w:pPr>
        <w:pStyle w:val="ListParagraph"/>
        <w:rPr>
          <w:rFonts w:cstheme="minorHAnsi"/>
          <w:sz w:val="24"/>
          <w:szCs w:val="24"/>
        </w:rPr>
      </w:pPr>
    </w:p>
    <w:p w:rsidR="00F50B7A" w:rsidRDefault="00532055" w:rsidP="00C94ECF">
      <w:pPr>
        <w:pStyle w:val="ListParagraph"/>
        <w:numPr>
          <w:ilvl w:val="0"/>
          <w:numId w:val="2"/>
        </w:numPr>
        <w:ind w:hanging="720"/>
        <w:rPr>
          <w:rFonts w:cstheme="minorHAnsi"/>
          <w:sz w:val="24"/>
          <w:szCs w:val="24"/>
        </w:rPr>
      </w:pPr>
      <w:r w:rsidRPr="00CE398F">
        <w:rPr>
          <w:rFonts w:cstheme="minorHAnsi"/>
          <w:sz w:val="24"/>
          <w:szCs w:val="24"/>
        </w:rPr>
        <w:t xml:space="preserve">The </w:t>
      </w:r>
      <w:r w:rsidR="00902709">
        <w:rPr>
          <w:rFonts w:cstheme="minorHAnsi"/>
          <w:sz w:val="24"/>
          <w:szCs w:val="24"/>
        </w:rPr>
        <w:t>Applicant</w:t>
      </w:r>
      <w:r w:rsidRPr="00CE398F">
        <w:rPr>
          <w:rFonts w:cstheme="minorHAnsi"/>
          <w:sz w:val="24"/>
          <w:szCs w:val="24"/>
        </w:rPr>
        <w:t xml:space="preserve"> attempted to bring this blasphemy to the attention of the Tribunal </w:t>
      </w:r>
      <w:r w:rsidR="007A5854">
        <w:rPr>
          <w:rFonts w:cstheme="minorHAnsi"/>
          <w:sz w:val="24"/>
          <w:szCs w:val="24"/>
        </w:rPr>
        <w:t xml:space="preserve">via an email </w:t>
      </w:r>
      <w:r w:rsidRPr="00CE398F">
        <w:rPr>
          <w:rFonts w:cstheme="minorHAnsi"/>
          <w:sz w:val="24"/>
          <w:szCs w:val="24"/>
        </w:rPr>
        <w:t>shortly after the conclusion of the hearing in February 2016,</w:t>
      </w:r>
      <w:r>
        <w:rPr>
          <w:rStyle w:val="FootnoteReference"/>
          <w:rFonts w:cstheme="minorHAnsi"/>
          <w:sz w:val="24"/>
          <w:szCs w:val="24"/>
        </w:rPr>
        <w:footnoteReference w:id="125"/>
      </w:r>
      <w:r w:rsidRPr="00CE398F">
        <w:rPr>
          <w:rFonts w:cstheme="minorHAnsi"/>
          <w:sz w:val="24"/>
          <w:szCs w:val="24"/>
        </w:rPr>
        <w:t xml:space="preserve"> but during the teleconference call he was literally yelled at by Counsel, Mr. Bill Manuel, “</w:t>
      </w:r>
      <w:r w:rsidRPr="00CE398F">
        <w:rPr>
          <w:rFonts w:cstheme="minorHAnsi"/>
          <w:i/>
          <w:iCs/>
          <w:sz w:val="24"/>
          <w:szCs w:val="24"/>
        </w:rPr>
        <w:t xml:space="preserve">the </w:t>
      </w:r>
      <w:r w:rsidR="00902709">
        <w:rPr>
          <w:rFonts w:cstheme="minorHAnsi"/>
          <w:i/>
          <w:iCs/>
          <w:sz w:val="24"/>
          <w:szCs w:val="24"/>
        </w:rPr>
        <w:t>Applicant</w:t>
      </w:r>
      <w:r w:rsidRPr="00CE398F">
        <w:rPr>
          <w:rFonts w:cstheme="minorHAnsi"/>
          <w:i/>
          <w:iCs/>
          <w:sz w:val="24"/>
          <w:szCs w:val="24"/>
        </w:rPr>
        <w:t xml:space="preserve"> accuses his own witness of perjury</w:t>
      </w:r>
      <w:r w:rsidRPr="00CE398F">
        <w:rPr>
          <w:rFonts w:cstheme="minorHAnsi"/>
          <w:sz w:val="24"/>
          <w:szCs w:val="24"/>
        </w:rPr>
        <w:t>”</w:t>
      </w:r>
      <w:r w:rsidR="00F20D70">
        <w:rPr>
          <w:rFonts w:cstheme="minorHAnsi"/>
          <w:sz w:val="24"/>
          <w:szCs w:val="24"/>
        </w:rPr>
        <w:t xml:space="preserve"> and advised that the teleconference call was scheduled to address other matters. </w:t>
      </w:r>
      <w:r w:rsidRPr="00CE398F">
        <w:rPr>
          <w:rFonts w:cstheme="minorHAnsi"/>
          <w:sz w:val="24"/>
          <w:szCs w:val="24"/>
        </w:rPr>
        <w:t xml:space="preserve">The </w:t>
      </w:r>
      <w:r w:rsidR="00902709">
        <w:rPr>
          <w:rFonts w:cstheme="minorHAnsi"/>
          <w:sz w:val="24"/>
          <w:szCs w:val="24"/>
        </w:rPr>
        <w:t>Applicant</w:t>
      </w:r>
      <w:r w:rsidRPr="00CE398F">
        <w:rPr>
          <w:rFonts w:cstheme="minorHAnsi"/>
          <w:sz w:val="24"/>
          <w:szCs w:val="24"/>
        </w:rPr>
        <w:t xml:space="preserve"> was subsequently advised by Mr. Vice Chair that this issue would be dealt with at the beginning of the next hearing dates. The </w:t>
      </w:r>
      <w:r w:rsidR="00902709">
        <w:rPr>
          <w:rFonts w:cstheme="minorHAnsi"/>
          <w:sz w:val="24"/>
          <w:szCs w:val="24"/>
        </w:rPr>
        <w:t>Applicant</w:t>
      </w:r>
      <w:r w:rsidRPr="00CE398F">
        <w:rPr>
          <w:rFonts w:cstheme="minorHAnsi"/>
          <w:sz w:val="24"/>
          <w:szCs w:val="24"/>
        </w:rPr>
        <w:t xml:space="preserve"> yet again tried to address this issue at the beginning of the last set of hearing days</w:t>
      </w:r>
      <w:r>
        <w:rPr>
          <w:rFonts w:cstheme="minorHAnsi"/>
          <w:sz w:val="24"/>
          <w:szCs w:val="24"/>
        </w:rPr>
        <w:t>,</w:t>
      </w:r>
      <w:r w:rsidRPr="00CE398F">
        <w:rPr>
          <w:rFonts w:cstheme="minorHAnsi"/>
          <w:sz w:val="24"/>
          <w:szCs w:val="24"/>
        </w:rPr>
        <w:t xml:space="preserve"> but was </w:t>
      </w:r>
      <w:r w:rsidR="002476BE">
        <w:rPr>
          <w:rFonts w:cstheme="minorHAnsi"/>
          <w:sz w:val="24"/>
          <w:szCs w:val="24"/>
        </w:rPr>
        <w:t xml:space="preserve">advised that </w:t>
      </w:r>
      <w:r w:rsidRPr="002476BE">
        <w:rPr>
          <w:rFonts w:cstheme="minorHAnsi"/>
          <w:sz w:val="24"/>
          <w:szCs w:val="24"/>
        </w:rPr>
        <w:t xml:space="preserve">it was </w:t>
      </w:r>
      <w:r w:rsidRPr="002476BE">
        <w:rPr>
          <w:rFonts w:cstheme="minorHAnsi"/>
          <w:sz w:val="24"/>
          <w:szCs w:val="24"/>
        </w:rPr>
        <w:lastRenderedPageBreak/>
        <w:t xml:space="preserve">something to be addressed in submissions. </w:t>
      </w:r>
      <w:r w:rsidR="0065472B">
        <w:rPr>
          <w:rFonts w:cstheme="minorHAnsi"/>
          <w:sz w:val="24"/>
          <w:szCs w:val="24"/>
        </w:rPr>
        <w:t>Then due to the</w:t>
      </w:r>
      <w:r w:rsidR="00F50B7A">
        <w:rPr>
          <w:rFonts w:cstheme="minorHAnsi"/>
          <w:sz w:val="24"/>
          <w:szCs w:val="24"/>
        </w:rPr>
        <w:t xml:space="preserve"> imposed</w:t>
      </w:r>
      <w:r w:rsidR="0065472B">
        <w:rPr>
          <w:rFonts w:cstheme="minorHAnsi"/>
          <w:sz w:val="24"/>
          <w:szCs w:val="24"/>
        </w:rPr>
        <w:t xml:space="preserve"> limit on the number of pag</w:t>
      </w:r>
      <w:r w:rsidR="00F50B7A">
        <w:rPr>
          <w:rFonts w:cstheme="minorHAnsi"/>
          <w:sz w:val="24"/>
          <w:szCs w:val="24"/>
        </w:rPr>
        <w:t>es of</w:t>
      </w:r>
      <w:r w:rsidR="0065472B">
        <w:rPr>
          <w:rFonts w:cstheme="minorHAnsi"/>
          <w:sz w:val="24"/>
          <w:szCs w:val="24"/>
        </w:rPr>
        <w:t xml:space="preserve"> the closing submissions the </w:t>
      </w:r>
      <w:r w:rsidR="00902709">
        <w:rPr>
          <w:rFonts w:cstheme="minorHAnsi"/>
          <w:sz w:val="24"/>
          <w:szCs w:val="24"/>
        </w:rPr>
        <w:t>Applicant</w:t>
      </w:r>
      <w:r w:rsidR="0065472B">
        <w:rPr>
          <w:rFonts w:cstheme="minorHAnsi"/>
          <w:sz w:val="24"/>
          <w:szCs w:val="24"/>
        </w:rPr>
        <w:t xml:space="preserve"> was forced to abandon it. </w:t>
      </w:r>
    </w:p>
    <w:p w:rsidR="00F50B7A" w:rsidRPr="00F50B7A" w:rsidRDefault="00F50B7A" w:rsidP="00C94ECF">
      <w:pPr>
        <w:pStyle w:val="ListParagraph"/>
        <w:rPr>
          <w:rFonts w:cstheme="minorHAnsi"/>
          <w:sz w:val="24"/>
          <w:szCs w:val="24"/>
        </w:rPr>
      </w:pPr>
    </w:p>
    <w:p w:rsidR="00F50B7A" w:rsidRPr="00F50B7A" w:rsidRDefault="00F50B7A" w:rsidP="00AF0628">
      <w:pPr>
        <w:pStyle w:val="ListParagraph"/>
        <w:numPr>
          <w:ilvl w:val="0"/>
          <w:numId w:val="2"/>
        </w:numPr>
        <w:ind w:hanging="720"/>
        <w:rPr>
          <w:rFonts w:cstheme="minorHAnsi"/>
          <w:sz w:val="24"/>
          <w:szCs w:val="24"/>
        </w:rPr>
      </w:pPr>
      <w:r>
        <w:rPr>
          <w:rFonts w:cstheme="minorHAnsi"/>
          <w:sz w:val="24"/>
          <w:szCs w:val="24"/>
        </w:rPr>
        <w:t xml:space="preserve">However, </w:t>
      </w:r>
      <w:r w:rsidR="00DC135F">
        <w:rPr>
          <w:rFonts w:cstheme="minorHAnsi"/>
          <w:sz w:val="24"/>
          <w:szCs w:val="24"/>
        </w:rPr>
        <w:t xml:space="preserve">were it not for </w:t>
      </w:r>
      <w:r w:rsidRPr="00151CB1">
        <w:rPr>
          <w:rFonts w:cstheme="minorHAnsi"/>
          <w:sz w:val="24"/>
          <w:szCs w:val="24"/>
        </w:rPr>
        <w:t>Counsel</w:t>
      </w:r>
      <w:r>
        <w:rPr>
          <w:rFonts w:cstheme="minorHAnsi"/>
          <w:sz w:val="24"/>
          <w:szCs w:val="24"/>
        </w:rPr>
        <w:t xml:space="preserve">’s statement </w:t>
      </w:r>
      <w:r w:rsidRPr="00151CB1">
        <w:rPr>
          <w:rFonts w:cstheme="minorHAnsi"/>
          <w:sz w:val="24"/>
          <w:szCs w:val="24"/>
        </w:rPr>
        <w:t xml:space="preserve">in their reply to the </w:t>
      </w:r>
      <w:r w:rsidR="00902709">
        <w:rPr>
          <w:rFonts w:cstheme="minorHAnsi"/>
          <w:sz w:val="24"/>
          <w:szCs w:val="24"/>
        </w:rPr>
        <w:t>Applicant</w:t>
      </w:r>
      <w:r w:rsidRPr="00151CB1">
        <w:rPr>
          <w:rFonts w:cstheme="minorHAnsi"/>
          <w:sz w:val="24"/>
          <w:szCs w:val="24"/>
        </w:rPr>
        <w:t>’s closing submissions that</w:t>
      </w:r>
      <w:r>
        <w:rPr>
          <w:rFonts w:cstheme="minorHAnsi"/>
          <w:sz w:val="24"/>
          <w:szCs w:val="24"/>
        </w:rPr>
        <w:t>,</w:t>
      </w:r>
      <w:r w:rsidRPr="00151CB1">
        <w:rPr>
          <w:rFonts w:cstheme="minorHAnsi"/>
          <w:sz w:val="24"/>
          <w:szCs w:val="24"/>
        </w:rPr>
        <w:t xml:space="preserve"> ‘</w:t>
      </w:r>
      <w:r w:rsidRPr="00151CB1">
        <w:rPr>
          <w:rFonts w:cstheme="minorHAnsi"/>
          <w:i/>
          <w:iCs/>
          <w:sz w:val="24"/>
          <w:szCs w:val="24"/>
        </w:rPr>
        <w:t>Constable Brockley was also aware that Jack had made thirteen phone calls to one of the individuals who was being investigated’</w:t>
      </w:r>
      <w:r w:rsidRPr="00151CB1">
        <w:rPr>
          <w:rFonts w:cstheme="minorHAnsi"/>
          <w:sz w:val="24"/>
          <w:szCs w:val="24"/>
        </w:rPr>
        <w:t xml:space="preserve"> </w:t>
      </w:r>
      <w:r w:rsidR="00DC135F">
        <w:rPr>
          <w:rFonts w:cstheme="minorHAnsi"/>
          <w:sz w:val="24"/>
          <w:szCs w:val="24"/>
        </w:rPr>
        <w:t xml:space="preserve">this </w:t>
      </w:r>
      <w:r>
        <w:rPr>
          <w:rFonts w:cstheme="minorHAnsi"/>
          <w:sz w:val="24"/>
          <w:szCs w:val="24"/>
        </w:rPr>
        <w:t xml:space="preserve">Pandora box </w:t>
      </w:r>
      <w:r w:rsidR="00DC135F">
        <w:rPr>
          <w:rFonts w:cstheme="minorHAnsi"/>
          <w:sz w:val="24"/>
          <w:szCs w:val="24"/>
        </w:rPr>
        <w:t xml:space="preserve">would not have been opened. </w:t>
      </w:r>
      <w:r w:rsidR="00AF0628">
        <w:rPr>
          <w:rFonts w:cstheme="minorHAnsi"/>
          <w:sz w:val="24"/>
          <w:szCs w:val="24"/>
        </w:rPr>
        <w:t>Counsel has left the A</w:t>
      </w:r>
      <w:r w:rsidR="00902709">
        <w:rPr>
          <w:rFonts w:cstheme="minorHAnsi"/>
          <w:sz w:val="24"/>
          <w:szCs w:val="24"/>
        </w:rPr>
        <w:t>pplicant</w:t>
      </w:r>
      <w:r w:rsidR="00AF0628">
        <w:rPr>
          <w:rFonts w:cstheme="minorHAnsi"/>
          <w:sz w:val="24"/>
          <w:szCs w:val="24"/>
        </w:rPr>
        <w:t xml:space="preserve"> with no </w:t>
      </w:r>
      <w:r>
        <w:rPr>
          <w:rFonts w:cstheme="minorHAnsi"/>
          <w:sz w:val="24"/>
          <w:szCs w:val="24"/>
        </w:rPr>
        <w:t>choice</w:t>
      </w:r>
      <w:r w:rsidR="0066144A">
        <w:rPr>
          <w:rFonts w:cstheme="minorHAnsi"/>
          <w:sz w:val="24"/>
          <w:szCs w:val="24"/>
        </w:rPr>
        <w:t>,</w:t>
      </w:r>
      <w:r>
        <w:rPr>
          <w:rFonts w:cstheme="minorHAnsi"/>
          <w:sz w:val="24"/>
          <w:szCs w:val="24"/>
        </w:rPr>
        <w:t xml:space="preserve"> but to address this manipulation of facts and perjury at last.</w:t>
      </w:r>
    </w:p>
    <w:p w:rsidR="00F50B7A" w:rsidRPr="00F50B7A" w:rsidRDefault="00F50B7A" w:rsidP="00C94ECF">
      <w:pPr>
        <w:pStyle w:val="ListParagraph"/>
        <w:rPr>
          <w:rFonts w:cstheme="minorHAnsi"/>
          <w:sz w:val="24"/>
          <w:szCs w:val="24"/>
        </w:rPr>
      </w:pPr>
    </w:p>
    <w:p w:rsidR="006E5876" w:rsidRPr="00151CB1" w:rsidRDefault="003634C8" w:rsidP="00C94ECF">
      <w:pPr>
        <w:pStyle w:val="ListParagraph"/>
        <w:numPr>
          <w:ilvl w:val="0"/>
          <w:numId w:val="2"/>
        </w:numPr>
        <w:ind w:hanging="720"/>
        <w:rPr>
          <w:rFonts w:cstheme="minorHAnsi"/>
          <w:sz w:val="24"/>
          <w:szCs w:val="24"/>
        </w:rPr>
      </w:pPr>
      <w:r w:rsidRPr="00151CB1">
        <w:rPr>
          <w:rFonts w:cstheme="minorHAnsi"/>
          <w:sz w:val="24"/>
          <w:szCs w:val="24"/>
        </w:rPr>
        <w:t xml:space="preserve">The </w:t>
      </w:r>
      <w:r w:rsidR="0064343E" w:rsidRPr="00151CB1">
        <w:rPr>
          <w:rFonts w:cstheme="minorHAnsi"/>
          <w:sz w:val="24"/>
          <w:szCs w:val="24"/>
        </w:rPr>
        <w:t xml:space="preserve">truth </w:t>
      </w:r>
      <w:r w:rsidR="00A93060" w:rsidRPr="00151CB1">
        <w:rPr>
          <w:rFonts w:cstheme="minorHAnsi"/>
          <w:sz w:val="24"/>
          <w:szCs w:val="24"/>
        </w:rPr>
        <w:t xml:space="preserve">is that </w:t>
      </w:r>
      <w:r w:rsidRPr="00151CB1">
        <w:rPr>
          <w:rFonts w:cstheme="minorHAnsi"/>
          <w:sz w:val="24"/>
          <w:szCs w:val="24"/>
        </w:rPr>
        <w:t xml:space="preserve">the </w:t>
      </w:r>
      <w:r w:rsidR="00EA6EDE" w:rsidRPr="00151CB1">
        <w:rPr>
          <w:rFonts w:cstheme="minorHAnsi"/>
          <w:sz w:val="24"/>
          <w:szCs w:val="24"/>
        </w:rPr>
        <w:t>internal</w:t>
      </w:r>
      <w:r w:rsidRPr="00151CB1">
        <w:rPr>
          <w:rFonts w:cstheme="minorHAnsi"/>
          <w:sz w:val="24"/>
          <w:szCs w:val="24"/>
        </w:rPr>
        <w:t xml:space="preserve"> </w:t>
      </w:r>
      <w:r w:rsidR="00175F0F" w:rsidRPr="00151CB1">
        <w:rPr>
          <w:rFonts w:cstheme="minorHAnsi"/>
          <w:sz w:val="24"/>
          <w:szCs w:val="24"/>
        </w:rPr>
        <w:t>complaint</w:t>
      </w:r>
      <w:r w:rsidRPr="00151CB1">
        <w:rPr>
          <w:rFonts w:cstheme="minorHAnsi"/>
          <w:sz w:val="24"/>
          <w:szCs w:val="24"/>
        </w:rPr>
        <w:t xml:space="preserve"> was solely </w:t>
      </w:r>
      <w:r w:rsidR="00EA6EDE" w:rsidRPr="00151CB1">
        <w:rPr>
          <w:rFonts w:cstheme="minorHAnsi"/>
          <w:sz w:val="24"/>
          <w:szCs w:val="24"/>
        </w:rPr>
        <w:t xml:space="preserve">based </w:t>
      </w:r>
      <w:r w:rsidRPr="00151CB1">
        <w:rPr>
          <w:rFonts w:cstheme="minorHAnsi"/>
          <w:sz w:val="24"/>
          <w:szCs w:val="24"/>
        </w:rPr>
        <w:t xml:space="preserve">on the </w:t>
      </w:r>
      <w:r w:rsidR="00902709">
        <w:rPr>
          <w:rFonts w:cstheme="minorHAnsi"/>
          <w:sz w:val="24"/>
          <w:szCs w:val="24"/>
        </w:rPr>
        <w:t>Applicant</w:t>
      </w:r>
      <w:r w:rsidRPr="00151CB1">
        <w:rPr>
          <w:rFonts w:cstheme="minorHAnsi"/>
          <w:sz w:val="24"/>
          <w:szCs w:val="24"/>
        </w:rPr>
        <w:t xml:space="preserve"> allegedly running an undercover vehicle </w:t>
      </w:r>
      <w:r w:rsidR="00ED6350">
        <w:rPr>
          <w:rFonts w:cstheme="minorHAnsi"/>
          <w:sz w:val="24"/>
          <w:szCs w:val="24"/>
        </w:rPr>
        <w:t xml:space="preserve">license </w:t>
      </w:r>
      <w:r w:rsidRPr="00151CB1">
        <w:rPr>
          <w:rFonts w:cstheme="minorHAnsi"/>
          <w:sz w:val="24"/>
          <w:szCs w:val="24"/>
        </w:rPr>
        <w:t xml:space="preserve">plate (that he did not </w:t>
      </w:r>
      <w:r w:rsidR="00A7513D" w:rsidRPr="00151CB1">
        <w:rPr>
          <w:rFonts w:cstheme="minorHAnsi"/>
          <w:sz w:val="24"/>
          <w:szCs w:val="24"/>
        </w:rPr>
        <w:t xml:space="preserve">run </w:t>
      </w:r>
      <w:r w:rsidR="00E62317">
        <w:rPr>
          <w:rFonts w:cstheme="minorHAnsi"/>
          <w:sz w:val="24"/>
          <w:szCs w:val="24"/>
        </w:rPr>
        <w:t>as established</w:t>
      </w:r>
      <w:r w:rsidR="006E5876">
        <w:rPr>
          <w:rStyle w:val="FootnoteReference"/>
          <w:rFonts w:cstheme="minorHAnsi"/>
          <w:sz w:val="24"/>
          <w:szCs w:val="24"/>
        </w:rPr>
        <w:footnoteReference w:id="126"/>
      </w:r>
      <w:r w:rsidRPr="00151CB1">
        <w:rPr>
          <w:rFonts w:cstheme="minorHAnsi"/>
          <w:sz w:val="24"/>
          <w:szCs w:val="24"/>
        </w:rPr>
        <w:t>)</w:t>
      </w:r>
      <w:r w:rsidR="0070796C" w:rsidRPr="00151CB1">
        <w:rPr>
          <w:rFonts w:cstheme="minorHAnsi"/>
          <w:sz w:val="24"/>
          <w:szCs w:val="24"/>
        </w:rPr>
        <w:t xml:space="preserve"> and on </w:t>
      </w:r>
      <w:r w:rsidR="00A7513D" w:rsidRPr="00151CB1">
        <w:rPr>
          <w:rFonts w:cstheme="minorHAnsi"/>
          <w:sz w:val="24"/>
          <w:szCs w:val="24"/>
        </w:rPr>
        <w:t>a</w:t>
      </w:r>
      <w:r w:rsidR="0070796C" w:rsidRPr="00151CB1">
        <w:rPr>
          <w:rFonts w:cstheme="minorHAnsi"/>
          <w:sz w:val="24"/>
          <w:szCs w:val="24"/>
        </w:rPr>
        <w:t xml:space="preserve"> </w:t>
      </w:r>
      <w:r w:rsidR="00175F0F" w:rsidRPr="00151CB1">
        <w:rPr>
          <w:rFonts w:cstheme="minorHAnsi"/>
          <w:sz w:val="24"/>
          <w:szCs w:val="24"/>
        </w:rPr>
        <w:t>6 year old photograph</w:t>
      </w:r>
      <w:r w:rsidR="00A7513D">
        <w:rPr>
          <w:rStyle w:val="FootnoteReference"/>
          <w:rFonts w:cstheme="minorHAnsi"/>
          <w:sz w:val="24"/>
          <w:szCs w:val="24"/>
        </w:rPr>
        <w:footnoteReference w:id="127"/>
      </w:r>
      <w:r w:rsidR="00175F0F" w:rsidRPr="00151CB1">
        <w:rPr>
          <w:rFonts w:cstheme="minorHAnsi"/>
          <w:sz w:val="24"/>
          <w:szCs w:val="24"/>
        </w:rPr>
        <w:t xml:space="preserve"> </w:t>
      </w:r>
      <w:r w:rsidR="00EA6EDE" w:rsidRPr="00151CB1">
        <w:rPr>
          <w:rFonts w:cstheme="minorHAnsi"/>
          <w:sz w:val="24"/>
          <w:szCs w:val="24"/>
        </w:rPr>
        <w:t xml:space="preserve">which </w:t>
      </w:r>
      <w:r w:rsidR="00175F0F" w:rsidRPr="00151CB1">
        <w:rPr>
          <w:rFonts w:cstheme="minorHAnsi"/>
          <w:sz w:val="24"/>
          <w:szCs w:val="24"/>
        </w:rPr>
        <w:t xml:space="preserve">the </w:t>
      </w:r>
      <w:r w:rsidR="00902709">
        <w:rPr>
          <w:rFonts w:cstheme="minorHAnsi"/>
          <w:sz w:val="24"/>
          <w:szCs w:val="24"/>
        </w:rPr>
        <w:t>Applicant</w:t>
      </w:r>
      <w:r w:rsidR="00175F0F" w:rsidRPr="00151CB1">
        <w:rPr>
          <w:rFonts w:cstheme="minorHAnsi"/>
          <w:sz w:val="24"/>
          <w:szCs w:val="24"/>
        </w:rPr>
        <w:t xml:space="preserve"> brought to the detachment and showed voluntarily </w:t>
      </w:r>
      <w:r w:rsidR="002476BE">
        <w:rPr>
          <w:rFonts w:cstheme="minorHAnsi"/>
          <w:sz w:val="24"/>
          <w:szCs w:val="24"/>
        </w:rPr>
        <w:t xml:space="preserve">some 7 months earlier </w:t>
      </w:r>
      <w:r w:rsidR="00110C43">
        <w:rPr>
          <w:rFonts w:cstheme="minorHAnsi"/>
          <w:sz w:val="24"/>
          <w:szCs w:val="24"/>
        </w:rPr>
        <w:t>for</w:t>
      </w:r>
      <w:r w:rsidR="00175F0F" w:rsidRPr="00151CB1">
        <w:rPr>
          <w:rFonts w:cstheme="minorHAnsi"/>
          <w:sz w:val="24"/>
          <w:szCs w:val="24"/>
        </w:rPr>
        <w:t xml:space="preserve"> the sole purpose </w:t>
      </w:r>
      <w:r w:rsidR="00110C43">
        <w:rPr>
          <w:rFonts w:cstheme="minorHAnsi"/>
          <w:sz w:val="24"/>
          <w:szCs w:val="24"/>
        </w:rPr>
        <w:t xml:space="preserve">of </w:t>
      </w:r>
      <w:r w:rsidR="00175F0F" w:rsidRPr="00151CB1">
        <w:rPr>
          <w:rFonts w:cstheme="minorHAnsi"/>
          <w:sz w:val="24"/>
          <w:szCs w:val="24"/>
        </w:rPr>
        <w:t>identify</w:t>
      </w:r>
      <w:r w:rsidR="00110C43">
        <w:rPr>
          <w:rFonts w:cstheme="minorHAnsi"/>
          <w:sz w:val="24"/>
          <w:szCs w:val="24"/>
        </w:rPr>
        <w:t>ing</w:t>
      </w:r>
      <w:r w:rsidR="00175F0F" w:rsidRPr="00151CB1">
        <w:rPr>
          <w:rFonts w:cstheme="minorHAnsi"/>
          <w:sz w:val="24"/>
          <w:szCs w:val="24"/>
        </w:rPr>
        <w:t xml:space="preserve"> some of the people he believed to be ‘bad’ guys</w:t>
      </w:r>
      <w:r w:rsidR="00AA75C6" w:rsidRPr="00151CB1">
        <w:rPr>
          <w:rFonts w:cstheme="minorHAnsi"/>
          <w:sz w:val="24"/>
          <w:szCs w:val="24"/>
        </w:rPr>
        <w:t xml:space="preserve"> and </w:t>
      </w:r>
      <w:r w:rsidR="00110C43">
        <w:rPr>
          <w:rFonts w:cstheme="minorHAnsi"/>
          <w:sz w:val="24"/>
          <w:szCs w:val="24"/>
        </w:rPr>
        <w:t>bring them to justice.</w:t>
      </w:r>
      <w:r w:rsidR="00175F0F" w:rsidRPr="00151CB1">
        <w:rPr>
          <w:rFonts w:cstheme="minorHAnsi"/>
          <w:sz w:val="24"/>
          <w:szCs w:val="24"/>
        </w:rPr>
        <w:t xml:space="preserve"> </w:t>
      </w:r>
    </w:p>
    <w:p w:rsidR="006E5876" w:rsidRDefault="006E5876" w:rsidP="00C94ECF">
      <w:pPr>
        <w:ind w:firstLine="720"/>
        <w:rPr>
          <w:rFonts w:cstheme="minorHAnsi"/>
          <w:sz w:val="24"/>
          <w:szCs w:val="24"/>
        </w:rPr>
      </w:pPr>
      <w:r>
        <w:rPr>
          <w:rFonts w:cstheme="minorHAnsi"/>
          <w:noProof/>
          <w:sz w:val="24"/>
          <w:szCs w:val="24"/>
          <w:lang w:bidi="ar-SA"/>
        </w:rPr>
        <w:drawing>
          <wp:inline distT="0" distB="0" distL="0" distR="0" wp14:anchorId="465DD8EF" wp14:editId="19582FC7">
            <wp:extent cx="5857875" cy="7524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7875" cy="752475"/>
                    </a:xfrm>
                    <a:prstGeom prst="rect">
                      <a:avLst/>
                    </a:prstGeom>
                    <a:noFill/>
                    <a:ln>
                      <a:noFill/>
                    </a:ln>
                  </pic:spPr>
                </pic:pic>
              </a:graphicData>
            </a:graphic>
          </wp:inline>
        </w:drawing>
      </w:r>
    </w:p>
    <w:p w:rsidR="00822885" w:rsidRDefault="00175F0F" w:rsidP="0066144A">
      <w:pPr>
        <w:pStyle w:val="ListParagraph"/>
        <w:numPr>
          <w:ilvl w:val="0"/>
          <w:numId w:val="2"/>
        </w:numPr>
        <w:ind w:hanging="720"/>
        <w:rPr>
          <w:rFonts w:cstheme="minorHAnsi"/>
          <w:sz w:val="24"/>
          <w:szCs w:val="24"/>
        </w:rPr>
      </w:pPr>
      <w:r w:rsidRPr="00151CB1">
        <w:rPr>
          <w:rFonts w:cstheme="minorHAnsi"/>
          <w:sz w:val="24"/>
          <w:szCs w:val="24"/>
        </w:rPr>
        <w:t>As for the maliciousness of the complaint</w:t>
      </w:r>
      <w:r w:rsidR="00110C43">
        <w:rPr>
          <w:rFonts w:cstheme="minorHAnsi"/>
          <w:sz w:val="24"/>
          <w:szCs w:val="24"/>
        </w:rPr>
        <w:t>,</w:t>
      </w:r>
      <w:r w:rsidRPr="00151CB1">
        <w:rPr>
          <w:rFonts w:cstheme="minorHAnsi"/>
          <w:sz w:val="24"/>
          <w:szCs w:val="24"/>
        </w:rPr>
        <w:t xml:space="preserve"> then we ask the Tribunal to </w:t>
      </w:r>
      <w:r w:rsidR="00ED6350">
        <w:rPr>
          <w:rFonts w:cstheme="minorHAnsi"/>
          <w:sz w:val="24"/>
          <w:szCs w:val="24"/>
        </w:rPr>
        <w:t>take into account</w:t>
      </w:r>
      <w:r w:rsidRPr="00151CB1">
        <w:rPr>
          <w:rFonts w:cstheme="minorHAnsi"/>
          <w:sz w:val="24"/>
          <w:szCs w:val="24"/>
        </w:rPr>
        <w:t xml:space="preserve"> that Flindall alleged that the </w:t>
      </w:r>
      <w:r w:rsidR="00902709">
        <w:rPr>
          <w:rFonts w:cstheme="minorHAnsi"/>
          <w:sz w:val="24"/>
          <w:szCs w:val="24"/>
        </w:rPr>
        <w:t>Applicant</w:t>
      </w:r>
      <w:r w:rsidRPr="00151CB1">
        <w:rPr>
          <w:rFonts w:cstheme="minorHAnsi"/>
          <w:sz w:val="24"/>
          <w:szCs w:val="24"/>
        </w:rPr>
        <w:t xml:space="preserve"> </w:t>
      </w:r>
      <w:r w:rsidR="0066144A" w:rsidRPr="00110C43">
        <w:rPr>
          <w:rFonts w:cstheme="minorHAnsi"/>
          <w:sz w:val="24"/>
          <w:szCs w:val="24"/>
        </w:rPr>
        <w:t>was hanging out with organized crime</w:t>
      </w:r>
      <w:r w:rsidR="0066144A">
        <w:rPr>
          <w:rFonts w:cstheme="minorHAnsi"/>
          <w:sz w:val="24"/>
          <w:szCs w:val="24"/>
        </w:rPr>
        <w:t xml:space="preserve"> </w:t>
      </w:r>
      <w:r w:rsidRPr="00151CB1">
        <w:rPr>
          <w:rFonts w:cstheme="minorHAnsi"/>
          <w:sz w:val="24"/>
          <w:szCs w:val="24"/>
        </w:rPr>
        <w:t>immediately after being served with negative documentation with respect to his condu</w:t>
      </w:r>
      <w:r w:rsidR="00F20D70">
        <w:rPr>
          <w:rFonts w:cstheme="minorHAnsi"/>
          <w:sz w:val="24"/>
          <w:szCs w:val="24"/>
        </w:rPr>
        <w:t xml:space="preserve">ct towards the </w:t>
      </w:r>
      <w:r w:rsidR="00902709">
        <w:rPr>
          <w:rFonts w:cstheme="minorHAnsi"/>
          <w:sz w:val="24"/>
          <w:szCs w:val="24"/>
        </w:rPr>
        <w:t>Applicant</w:t>
      </w:r>
      <w:r w:rsidR="003A0823">
        <w:rPr>
          <w:rStyle w:val="FootnoteReference"/>
          <w:rFonts w:cstheme="minorHAnsi"/>
          <w:sz w:val="24"/>
          <w:szCs w:val="24"/>
        </w:rPr>
        <w:footnoteReference w:id="128"/>
      </w:r>
      <w:r w:rsidRPr="00151CB1">
        <w:rPr>
          <w:rFonts w:cstheme="minorHAnsi"/>
          <w:sz w:val="24"/>
          <w:szCs w:val="24"/>
        </w:rPr>
        <w:t xml:space="preserve"> </w:t>
      </w:r>
      <w:r w:rsidR="00F20D70">
        <w:rPr>
          <w:rFonts w:cstheme="minorHAnsi"/>
          <w:sz w:val="24"/>
          <w:szCs w:val="24"/>
        </w:rPr>
        <w:t>a</w:t>
      </w:r>
      <w:r w:rsidR="00840521">
        <w:rPr>
          <w:rFonts w:cstheme="minorHAnsi"/>
          <w:sz w:val="24"/>
          <w:szCs w:val="24"/>
        </w:rPr>
        <w:t>nd prior to having all the details in place.</w:t>
      </w:r>
      <w:r w:rsidR="00840521">
        <w:rPr>
          <w:rStyle w:val="FootnoteReference"/>
          <w:rFonts w:cstheme="minorHAnsi"/>
          <w:sz w:val="24"/>
          <w:szCs w:val="24"/>
        </w:rPr>
        <w:footnoteReference w:id="129"/>
      </w:r>
      <w:r w:rsidR="00840521">
        <w:rPr>
          <w:rFonts w:cstheme="minorHAnsi"/>
          <w:sz w:val="24"/>
          <w:szCs w:val="24"/>
        </w:rPr>
        <w:t xml:space="preserve"> I</w:t>
      </w:r>
      <w:r w:rsidRPr="00151CB1">
        <w:rPr>
          <w:rFonts w:cstheme="minorHAnsi"/>
          <w:sz w:val="24"/>
          <w:szCs w:val="24"/>
        </w:rPr>
        <w:t>t was nothing</w:t>
      </w:r>
      <w:r w:rsidR="00AA75C6" w:rsidRPr="00151CB1">
        <w:rPr>
          <w:rFonts w:cstheme="minorHAnsi"/>
          <w:sz w:val="24"/>
          <w:szCs w:val="24"/>
        </w:rPr>
        <w:t xml:space="preserve"> </w:t>
      </w:r>
      <w:r w:rsidR="00F20D70">
        <w:rPr>
          <w:rFonts w:cstheme="minorHAnsi"/>
          <w:sz w:val="24"/>
          <w:szCs w:val="24"/>
        </w:rPr>
        <w:t xml:space="preserve">but a swift and callous </w:t>
      </w:r>
      <w:r w:rsidRPr="00151CB1">
        <w:rPr>
          <w:rFonts w:cstheme="minorHAnsi"/>
          <w:sz w:val="24"/>
          <w:szCs w:val="24"/>
        </w:rPr>
        <w:t xml:space="preserve">act of </w:t>
      </w:r>
      <w:r w:rsidR="0066144A">
        <w:rPr>
          <w:rFonts w:cstheme="minorHAnsi"/>
          <w:sz w:val="24"/>
          <w:szCs w:val="24"/>
        </w:rPr>
        <w:t xml:space="preserve">targeting and </w:t>
      </w:r>
      <w:r w:rsidRPr="00151CB1">
        <w:rPr>
          <w:rFonts w:cstheme="minorHAnsi"/>
          <w:sz w:val="24"/>
          <w:szCs w:val="24"/>
        </w:rPr>
        <w:t>revenge</w:t>
      </w:r>
      <w:r w:rsidR="0064343E" w:rsidRPr="00151CB1">
        <w:rPr>
          <w:rFonts w:cstheme="minorHAnsi"/>
          <w:sz w:val="24"/>
          <w:szCs w:val="24"/>
        </w:rPr>
        <w:t xml:space="preserve"> against the </w:t>
      </w:r>
      <w:r w:rsidR="00902709">
        <w:rPr>
          <w:rFonts w:cstheme="minorHAnsi"/>
          <w:sz w:val="24"/>
          <w:szCs w:val="24"/>
        </w:rPr>
        <w:t>Applicant</w:t>
      </w:r>
      <w:r w:rsidRPr="00151CB1">
        <w:rPr>
          <w:rFonts w:cstheme="minorHAnsi"/>
          <w:sz w:val="24"/>
          <w:szCs w:val="24"/>
        </w:rPr>
        <w:t xml:space="preserve"> in which Flindall succeeded.</w:t>
      </w:r>
    </w:p>
    <w:p w:rsidR="00ED6350" w:rsidRPr="00ED6350" w:rsidRDefault="00ED6350" w:rsidP="0066144A">
      <w:pPr>
        <w:pStyle w:val="ListParagraph"/>
        <w:spacing w:line="240" w:lineRule="auto"/>
        <w:rPr>
          <w:rFonts w:cstheme="minorHAnsi"/>
          <w:sz w:val="24"/>
          <w:szCs w:val="24"/>
        </w:rPr>
      </w:pPr>
    </w:p>
    <w:p w:rsidR="00ED6350" w:rsidRDefault="00E270F7" w:rsidP="00C94ECF">
      <w:pPr>
        <w:pStyle w:val="ListParagraph"/>
        <w:numPr>
          <w:ilvl w:val="0"/>
          <w:numId w:val="2"/>
        </w:numPr>
        <w:ind w:hanging="720"/>
        <w:rPr>
          <w:rFonts w:cstheme="minorHAnsi"/>
          <w:sz w:val="24"/>
          <w:szCs w:val="24"/>
        </w:rPr>
      </w:pPr>
      <w:r w:rsidRPr="00822885">
        <w:rPr>
          <w:rFonts w:cstheme="minorHAnsi"/>
          <w:sz w:val="24"/>
          <w:szCs w:val="24"/>
        </w:rPr>
        <w:t>With respect to item 115, w</w:t>
      </w:r>
      <w:r w:rsidR="00E02C35" w:rsidRPr="00822885">
        <w:rPr>
          <w:rFonts w:cstheme="minorHAnsi"/>
          <w:sz w:val="24"/>
          <w:szCs w:val="24"/>
        </w:rPr>
        <w:t xml:space="preserve">ho </w:t>
      </w:r>
      <w:r w:rsidRPr="00822885">
        <w:rPr>
          <w:rFonts w:cstheme="minorHAnsi"/>
          <w:sz w:val="24"/>
          <w:szCs w:val="24"/>
        </w:rPr>
        <w:t xml:space="preserve">actually </w:t>
      </w:r>
      <w:r w:rsidR="00E02C35" w:rsidRPr="00822885">
        <w:rPr>
          <w:rFonts w:cstheme="minorHAnsi"/>
          <w:sz w:val="24"/>
          <w:szCs w:val="24"/>
        </w:rPr>
        <w:t xml:space="preserve">filed the </w:t>
      </w:r>
      <w:r w:rsidRPr="00822885">
        <w:rPr>
          <w:rFonts w:cstheme="minorHAnsi"/>
          <w:sz w:val="24"/>
          <w:szCs w:val="24"/>
        </w:rPr>
        <w:t xml:space="preserve">internal </w:t>
      </w:r>
      <w:r w:rsidR="00E02C35" w:rsidRPr="00822885">
        <w:rPr>
          <w:rFonts w:cstheme="minorHAnsi"/>
          <w:sz w:val="24"/>
          <w:szCs w:val="24"/>
        </w:rPr>
        <w:t xml:space="preserve">complaint is </w:t>
      </w:r>
      <w:r w:rsidR="00151CB1" w:rsidRPr="00822885">
        <w:rPr>
          <w:rFonts w:cstheme="minorHAnsi"/>
          <w:sz w:val="24"/>
          <w:szCs w:val="24"/>
        </w:rPr>
        <w:t>immaterial</w:t>
      </w:r>
      <w:r w:rsidR="00822885" w:rsidRPr="00822885">
        <w:rPr>
          <w:rFonts w:cstheme="minorHAnsi"/>
          <w:sz w:val="24"/>
          <w:szCs w:val="24"/>
        </w:rPr>
        <w:t xml:space="preserve"> since i</w:t>
      </w:r>
      <w:r w:rsidR="00E02C35" w:rsidRPr="00822885">
        <w:rPr>
          <w:rFonts w:cstheme="minorHAnsi"/>
          <w:sz w:val="24"/>
          <w:szCs w:val="24"/>
        </w:rPr>
        <w:t xml:space="preserve">t is a procedural </w:t>
      </w:r>
      <w:r w:rsidR="00822885" w:rsidRPr="00822885">
        <w:rPr>
          <w:rFonts w:cstheme="minorHAnsi"/>
          <w:sz w:val="24"/>
          <w:szCs w:val="24"/>
        </w:rPr>
        <w:t>matter</w:t>
      </w:r>
      <w:r w:rsidR="00E02C35" w:rsidRPr="00822885">
        <w:rPr>
          <w:rFonts w:cstheme="minorHAnsi"/>
          <w:sz w:val="24"/>
          <w:szCs w:val="24"/>
        </w:rPr>
        <w:t xml:space="preserve">. What is relevant is who started it. It was not </w:t>
      </w:r>
      <w:proofErr w:type="spellStart"/>
      <w:r w:rsidR="00AC011A">
        <w:rPr>
          <w:rFonts w:cstheme="minorHAnsi"/>
          <w:sz w:val="24"/>
          <w:szCs w:val="24"/>
        </w:rPr>
        <w:t>Cst</w:t>
      </w:r>
      <w:proofErr w:type="spellEnd"/>
      <w:r w:rsidR="00AC011A">
        <w:rPr>
          <w:rFonts w:cstheme="minorHAnsi"/>
          <w:sz w:val="24"/>
          <w:szCs w:val="24"/>
        </w:rPr>
        <w:t xml:space="preserve">. Jamie </w:t>
      </w:r>
      <w:r w:rsidR="00E02C35" w:rsidRPr="00822885">
        <w:rPr>
          <w:rFonts w:cstheme="minorHAnsi"/>
          <w:sz w:val="24"/>
          <w:szCs w:val="24"/>
        </w:rPr>
        <w:t xml:space="preserve">Brockley. </w:t>
      </w:r>
      <w:r w:rsidR="00AC011A" w:rsidRPr="00822885">
        <w:rPr>
          <w:rFonts w:cstheme="minorHAnsi"/>
          <w:sz w:val="24"/>
          <w:szCs w:val="24"/>
        </w:rPr>
        <w:t xml:space="preserve">It was not </w:t>
      </w:r>
      <w:r w:rsidR="00AC011A">
        <w:rPr>
          <w:rFonts w:cstheme="minorHAnsi"/>
          <w:sz w:val="24"/>
          <w:szCs w:val="24"/>
        </w:rPr>
        <w:t xml:space="preserve">S/Sgt. Ron </w:t>
      </w:r>
      <w:r w:rsidR="00AC011A" w:rsidRPr="00822885">
        <w:rPr>
          <w:rFonts w:cstheme="minorHAnsi"/>
          <w:sz w:val="24"/>
          <w:szCs w:val="24"/>
        </w:rPr>
        <w:t xml:space="preserve">Campbell. </w:t>
      </w:r>
      <w:r w:rsidR="00E02C35" w:rsidRPr="00822885">
        <w:rPr>
          <w:rFonts w:cstheme="minorHAnsi"/>
          <w:sz w:val="24"/>
          <w:szCs w:val="24"/>
        </w:rPr>
        <w:t xml:space="preserve">It was </w:t>
      </w:r>
      <w:r w:rsidR="00AC011A">
        <w:rPr>
          <w:rFonts w:cstheme="minorHAnsi"/>
          <w:sz w:val="24"/>
          <w:szCs w:val="24"/>
        </w:rPr>
        <w:t xml:space="preserve">Sgt. Robert </w:t>
      </w:r>
      <w:r w:rsidR="00E02C35" w:rsidRPr="00822885">
        <w:rPr>
          <w:rFonts w:cstheme="minorHAnsi"/>
          <w:sz w:val="24"/>
          <w:szCs w:val="24"/>
        </w:rPr>
        <w:t>Flindall</w:t>
      </w:r>
      <w:r w:rsidR="00AC011A">
        <w:rPr>
          <w:rFonts w:cstheme="minorHAnsi"/>
          <w:sz w:val="24"/>
          <w:szCs w:val="24"/>
        </w:rPr>
        <w:t>.</w:t>
      </w:r>
      <w:r w:rsidR="00AC011A" w:rsidRPr="002D0766">
        <w:rPr>
          <w:rFonts w:ascii="Times New Roman" w:hAnsi="Times New Roman" w:cs="Times New Roman"/>
          <w:sz w:val="24"/>
          <w:szCs w:val="24"/>
          <w:vertAlign w:val="superscript"/>
        </w:rPr>
        <w:footnoteReference w:id="130"/>
      </w:r>
      <w:r w:rsidR="00ED6350">
        <w:rPr>
          <w:rFonts w:cstheme="minorHAnsi"/>
          <w:sz w:val="24"/>
          <w:szCs w:val="24"/>
        </w:rPr>
        <w:t xml:space="preserve"> </w:t>
      </w:r>
      <w:r w:rsidR="00ED6350" w:rsidRPr="00ED6350">
        <w:rPr>
          <w:rFonts w:cstheme="minorHAnsi"/>
          <w:sz w:val="24"/>
          <w:szCs w:val="24"/>
        </w:rPr>
        <w:t xml:space="preserve">The very person whom S/Sgt. Coleen Kohen </w:t>
      </w:r>
      <w:r w:rsidR="00ED6350">
        <w:rPr>
          <w:rFonts w:cstheme="minorHAnsi"/>
          <w:sz w:val="24"/>
          <w:szCs w:val="24"/>
        </w:rPr>
        <w:t>noted</w:t>
      </w:r>
      <w:r w:rsidR="00ED6350" w:rsidRPr="00ED6350">
        <w:rPr>
          <w:rFonts w:cstheme="minorHAnsi"/>
          <w:sz w:val="24"/>
          <w:szCs w:val="24"/>
        </w:rPr>
        <w:t xml:space="preserve"> to have a strong dislike of the </w:t>
      </w:r>
      <w:r w:rsidR="00902709">
        <w:rPr>
          <w:rFonts w:cstheme="minorHAnsi"/>
          <w:sz w:val="24"/>
          <w:szCs w:val="24"/>
        </w:rPr>
        <w:t>Applicant</w:t>
      </w:r>
      <w:r w:rsidR="00ED6350" w:rsidRPr="00ED6350">
        <w:rPr>
          <w:rFonts w:cstheme="minorHAnsi"/>
          <w:sz w:val="24"/>
          <w:szCs w:val="24"/>
        </w:rPr>
        <w:t>.</w:t>
      </w:r>
      <w:r w:rsidR="00ED6350">
        <w:rPr>
          <w:rStyle w:val="FootnoteReference"/>
          <w:rFonts w:cstheme="minorHAnsi"/>
          <w:sz w:val="24"/>
          <w:szCs w:val="24"/>
        </w:rPr>
        <w:footnoteReference w:id="131"/>
      </w:r>
    </w:p>
    <w:p w:rsidR="00ED6350" w:rsidRPr="00ED6350" w:rsidRDefault="00ED6350" w:rsidP="0066144A">
      <w:pPr>
        <w:pStyle w:val="ListParagraph"/>
        <w:spacing w:line="240" w:lineRule="auto"/>
        <w:rPr>
          <w:rFonts w:cstheme="minorHAnsi"/>
          <w:sz w:val="24"/>
          <w:szCs w:val="24"/>
        </w:rPr>
      </w:pPr>
    </w:p>
    <w:p w:rsidR="002A35AE" w:rsidRPr="002A35AE" w:rsidRDefault="004E5D90" w:rsidP="002A35AE">
      <w:pPr>
        <w:pStyle w:val="ListParagraph"/>
        <w:numPr>
          <w:ilvl w:val="0"/>
          <w:numId w:val="2"/>
        </w:numPr>
        <w:ind w:hanging="720"/>
        <w:rPr>
          <w:rFonts w:cstheme="minorHAnsi"/>
          <w:sz w:val="24"/>
          <w:szCs w:val="24"/>
        </w:rPr>
      </w:pPr>
      <w:r w:rsidRPr="00ED6350">
        <w:rPr>
          <w:rFonts w:cstheme="minorHAnsi"/>
          <w:sz w:val="24"/>
          <w:szCs w:val="24"/>
        </w:rPr>
        <w:t xml:space="preserve">Flindall was even informally commended for doing that, </w:t>
      </w:r>
    </w:p>
    <w:p w:rsidR="002A35AE" w:rsidRPr="00ED6350" w:rsidRDefault="002A35AE" w:rsidP="0066144A">
      <w:pPr>
        <w:pStyle w:val="ListParagraph"/>
        <w:spacing w:line="240" w:lineRule="auto"/>
        <w:rPr>
          <w:rFonts w:cstheme="minorHAnsi"/>
          <w:sz w:val="24"/>
          <w:szCs w:val="24"/>
        </w:rPr>
      </w:pPr>
    </w:p>
    <w:p w:rsidR="00E93AC4" w:rsidRPr="00E93AC4" w:rsidRDefault="00E93AC4" w:rsidP="00C94ECF">
      <w:pPr>
        <w:pStyle w:val="ListParagraph"/>
        <w:ind w:left="1440"/>
        <w:rPr>
          <w:rFonts w:cstheme="minorHAnsi"/>
          <w:i/>
          <w:iCs/>
          <w:sz w:val="24"/>
          <w:szCs w:val="24"/>
        </w:rPr>
      </w:pPr>
      <w:r w:rsidRPr="00E93AC4">
        <w:rPr>
          <w:rFonts w:cstheme="minorHAnsi"/>
          <w:i/>
          <w:iCs/>
          <w:sz w:val="24"/>
          <w:szCs w:val="24"/>
        </w:rPr>
        <w:lastRenderedPageBreak/>
        <w:t xml:space="preserve">‘At 5:17 p.m. Chief Smith advised via e-mail that PSB is working on the file. </w:t>
      </w:r>
      <w:proofErr w:type="gramStart"/>
      <w:r w:rsidRPr="00E93AC4">
        <w:rPr>
          <w:rFonts w:cstheme="minorHAnsi"/>
          <w:i/>
          <w:iCs/>
          <w:sz w:val="24"/>
          <w:szCs w:val="24"/>
        </w:rPr>
        <w:t>Told me to pass on appreciation to Sergeant Flindall.</w:t>
      </w:r>
      <w:proofErr w:type="gramEnd"/>
      <w:r w:rsidRPr="00E93AC4">
        <w:rPr>
          <w:rFonts w:cstheme="minorHAnsi"/>
          <w:i/>
          <w:iCs/>
          <w:sz w:val="24"/>
          <w:szCs w:val="24"/>
        </w:rPr>
        <w:t xml:space="preserve">  Staff Sergeant Martin Graham will be in touch.  He was the professional standards senior investigator or manager.’</w:t>
      </w:r>
      <w:r>
        <w:rPr>
          <w:rStyle w:val="FootnoteReference"/>
          <w:rFonts w:cstheme="minorHAnsi"/>
          <w:i/>
          <w:iCs/>
          <w:sz w:val="24"/>
          <w:szCs w:val="24"/>
        </w:rPr>
        <w:footnoteReference w:id="132"/>
      </w:r>
    </w:p>
    <w:p w:rsidR="00E93AC4" w:rsidRPr="00AC011A" w:rsidRDefault="00E93AC4" w:rsidP="0066144A">
      <w:pPr>
        <w:pStyle w:val="ListParagraph"/>
        <w:spacing w:line="240" w:lineRule="auto"/>
        <w:rPr>
          <w:rFonts w:cstheme="minorHAnsi"/>
          <w:sz w:val="24"/>
          <w:szCs w:val="24"/>
        </w:rPr>
      </w:pPr>
    </w:p>
    <w:p w:rsidR="003A5AAD" w:rsidRPr="00A33473" w:rsidRDefault="00AC011A" w:rsidP="00C94ECF">
      <w:pPr>
        <w:pStyle w:val="ListParagraph"/>
        <w:numPr>
          <w:ilvl w:val="0"/>
          <w:numId w:val="2"/>
        </w:numPr>
        <w:ind w:hanging="720"/>
        <w:rPr>
          <w:rFonts w:cstheme="minorHAnsi"/>
          <w:sz w:val="24"/>
          <w:szCs w:val="24"/>
        </w:rPr>
      </w:pPr>
      <w:r w:rsidRPr="00AC011A">
        <w:rPr>
          <w:rFonts w:cstheme="minorHAnsi"/>
          <w:sz w:val="24"/>
          <w:szCs w:val="24"/>
        </w:rPr>
        <w:t xml:space="preserve">With respect to item 117, the </w:t>
      </w:r>
      <w:r w:rsidR="00902709">
        <w:rPr>
          <w:rFonts w:cstheme="minorHAnsi"/>
          <w:sz w:val="24"/>
          <w:szCs w:val="24"/>
        </w:rPr>
        <w:t>Applicant</w:t>
      </w:r>
      <w:r w:rsidRPr="00AC011A">
        <w:rPr>
          <w:rFonts w:cstheme="minorHAnsi"/>
          <w:sz w:val="24"/>
          <w:szCs w:val="24"/>
        </w:rPr>
        <w:t xml:space="preserve"> testified that upon being served with the notice of internal complaint Butorac advised him, ‘</w:t>
      </w:r>
      <w:r w:rsidRPr="00AC011A">
        <w:rPr>
          <w:rFonts w:cstheme="minorHAnsi"/>
          <w:i/>
          <w:iCs/>
          <w:sz w:val="24"/>
          <w:szCs w:val="24"/>
        </w:rPr>
        <w:t>You have clouds over your head’</w:t>
      </w:r>
      <w:r w:rsidRPr="00AC011A">
        <w:rPr>
          <w:rFonts w:cstheme="minorHAnsi"/>
          <w:sz w:val="24"/>
          <w:szCs w:val="24"/>
        </w:rPr>
        <w:t xml:space="preserve"> and further added that it was embarrassing for </w:t>
      </w:r>
      <w:r>
        <w:rPr>
          <w:rFonts w:cstheme="minorHAnsi"/>
          <w:sz w:val="24"/>
          <w:szCs w:val="24"/>
        </w:rPr>
        <w:t xml:space="preserve">the </w:t>
      </w:r>
      <w:r w:rsidR="00902709">
        <w:rPr>
          <w:rFonts w:cstheme="minorHAnsi"/>
          <w:sz w:val="24"/>
          <w:szCs w:val="24"/>
        </w:rPr>
        <w:t>Applicant</w:t>
      </w:r>
      <w:r w:rsidRPr="00AC011A">
        <w:rPr>
          <w:rFonts w:cstheme="minorHAnsi"/>
          <w:sz w:val="24"/>
          <w:szCs w:val="24"/>
        </w:rPr>
        <w:t xml:space="preserve"> to receive such a notice</w:t>
      </w:r>
      <w:r>
        <w:rPr>
          <w:rFonts w:cstheme="minorHAnsi"/>
          <w:sz w:val="24"/>
          <w:szCs w:val="24"/>
        </w:rPr>
        <w:t>.</w:t>
      </w:r>
      <w:r w:rsidRPr="00AC011A">
        <w:rPr>
          <w:rStyle w:val="FootnoteReference"/>
          <w:rFonts w:cstheme="minorHAnsi"/>
          <w:sz w:val="24"/>
          <w:szCs w:val="24"/>
        </w:rPr>
        <w:t xml:space="preserve"> </w:t>
      </w:r>
      <w:r w:rsidRPr="00AC011A">
        <w:rPr>
          <w:rStyle w:val="FootnoteReference"/>
          <w:rFonts w:cstheme="minorHAnsi"/>
          <w:sz w:val="24"/>
          <w:szCs w:val="24"/>
        </w:rPr>
        <w:footnoteReference w:id="133"/>
      </w:r>
      <w:r w:rsidRPr="00AC011A">
        <w:rPr>
          <w:rFonts w:cstheme="minorHAnsi"/>
          <w:sz w:val="24"/>
          <w:szCs w:val="24"/>
        </w:rPr>
        <w:t xml:space="preserve"> Butorac </w:t>
      </w:r>
      <w:r>
        <w:rPr>
          <w:rFonts w:cstheme="minorHAnsi"/>
          <w:sz w:val="24"/>
          <w:szCs w:val="24"/>
        </w:rPr>
        <w:t xml:space="preserve">also </w:t>
      </w:r>
      <w:r w:rsidRPr="00AC011A">
        <w:rPr>
          <w:rFonts w:cstheme="minorHAnsi"/>
          <w:sz w:val="24"/>
          <w:szCs w:val="24"/>
        </w:rPr>
        <w:t xml:space="preserve">testified that the </w:t>
      </w:r>
      <w:r w:rsidR="003A5AAD">
        <w:rPr>
          <w:rFonts w:cstheme="minorHAnsi"/>
          <w:sz w:val="24"/>
          <w:szCs w:val="24"/>
        </w:rPr>
        <w:t xml:space="preserve">term </w:t>
      </w:r>
      <w:r w:rsidRPr="00AC011A">
        <w:rPr>
          <w:rFonts w:cstheme="minorHAnsi"/>
          <w:b/>
          <w:bCs/>
          <w:sz w:val="24"/>
          <w:szCs w:val="24"/>
        </w:rPr>
        <w:t>‘Undesirables</w:t>
      </w:r>
      <w:r w:rsidRPr="00AC011A">
        <w:rPr>
          <w:rFonts w:cstheme="minorHAnsi"/>
          <w:sz w:val="24"/>
          <w:szCs w:val="24"/>
        </w:rPr>
        <w:t xml:space="preserve">’ </w:t>
      </w:r>
      <w:r w:rsidRPr="00AC011A">
        <w:rPr>
          <w:rFonts w:eastAsia="Calibri" w:cstheme="minorHAnsi"/>
          <w:sz w:val="24"/>
          <w:szCs w:val="24"/>
          <w:lang w:val="en-CA" w:bidi="he-IL"/>
        </w:rPr>
        <w:t xml:space="preserve">would have caused him some concern and was </w:t>
      </w:r>
      <w:r w:rsidR="003A5AAD">
        <w:rPr>
          <w:rFonts w:eastAsia="Calibri" w:cstheme="minorHAnsi"/>
          <w:sz w:val="24"/>
          <w:szCs w:val="24"/>
          <w:lang w:val="en-CA" w:bidi="he-IL"/>
        </w:rPr>
        <w:t xml:space="preserve">derogatory and was </w:t>
      </w:r>
      <w:r w:rsidRPr="00AC011A">
        <w:rPr>
          <w:rFonts w:eastAsia="Calibri" w:cstheme="minorHAnsi"/>
          <w:sz w:val="24"/>
          <w:szCs w:val="24"/>
          <w:lang w:val="en-CA" w:bidi="he-IL"/>
        </w:rPr>
        <w:t>not congruent with Human Rights Code.</w:t>
      </w:r>
      <w:r w:rsidRPr="00AC011A">
        <w:rPr>
          <w:rFonts w:eastAsia="Calibri"/>
          <w:vertAlign w:val="superscript"/>
          <w:lang w:val="en-CA" w:bidi="he-IL"/>
        </w:rPr>
        <w:footnoteReference w:id="134"/>
      </w:r>
      <w:r w:rsidRPr="00AC011A">
        <w:rPr>
          <w:rFonts w:eastAsia="Calibri" w:cstheme="minorHAnsi"/>
          <w:sz w:val="24"/>
          <w:szCs w:val="24"/>
          <w:lang w:val="en-CA" w:bidi="he-IL"/>
        </w:rPr>
        <w:t xml:space="preserve"> </w:t>
      </w:r>
    </w:p>
    <w:p w:rsidR="00A33473" w:rsidRPr="00A33473" w:rsidRDefault="00A33473" w:rsidP="00060DE8">
      <w:pPr>
        <w:pStyle w:val="ListParagraph"/>
        <w:spacing w:line="240" w:lineRule="auto"/>
        <w:rPr>
          <w:rFonts w:cstheme="minorHAnsi"/>
          <w:sz w:val="24"/>
          <w:szCs w:val="24"/>
        </w:rPr>
      </w:pPr>
    </w:p>
    <w:p w:rsidR="00A34AD8" w:rsidRPr="00A34AD8" w:rsidRDefault="009B0597" w:rsidP="00A34AD8">
      <w:pPr>
        <w:pStyle w:val="ListParagraph"/>
        <w:numPr>
          <w:ilvl w:val="0"/>
          <w:numId w:val="2"/>
        </w:numPr>
        <w:ind w:hanging="720"/>
        <w:rPr>
          <w:rFonts w:cstheme="minorHAnsi"/>
          <w:sz w:val="24"/>
          <w:szCs w:val="24"/>
        </w:rPr>
      </w:pPr>
      <w:r>
        <w:rPr>
          <w:rFonts w:cstheme="minorHAnsi"/>
          <w:sz w:val="24"/>
          <w:szCs w:val="24"/>
        </w:rPr>
        <w:t>Butor</w:t>
      </w:r>
      <w:r w:rsidR="00A34AD8">
        <w:rPr>
          <w:rFonts w:cstheme="minorHAnsi"/>
          <w:sz w:val="24"/>
          <w:szCs w:val="24"/>
        </w:rPr>
        <w:t>ac explained whom the OPP refers</w:t>
      </w:r>
      <w:r>
        <w:rPr>
          <w:rFonts w:cstheme="minorHAnsi"/>
          <w:sz w:val="24"/>
          <w:szCs w:val="24"/>
        </w:rPr>
        <w:t xml:space="preserve"> to as ‘</w:t>
      </w:r>
      <w:r w:rsidR="001429F2">
        <w:rPr>
          <w:rFonts w:cstheme="minorHAnsi"/>
          <w:sz w:val="24"/>
          <w:szCs w:val="24"/>
        </w:rPr>
        <w:t>Undesirables</w:t>
      </w:r>
      <w:r>
        <w:rPr>
          <w:rFonts w:cstheme="minorHAnsi"/>
          <w:sz w:val="24"/>
          <w:szCs w:val="24"/>
        </w:rPr>
        <w:t xml:space="preserve">’. They </w:t>
      </w:r>
      <w:r w:rsidR="00A34AD8">
        <w:rPr>
          <w:rFonts w:cstheme="minorHAnsi"/>
          <w:sz w:val="24"/>
          <w:szCs w:val="24"/>
        </w:rPr>
        <w:t>are</w:t>
      </w:r>
      <w:r>
        <w:rPr>
          <w:rFonts w:cstheme="minorHAnsi"/>
          <w:sz w:val="24"/>
          <w:szCs w:val="24"/>
        </w:rPr>
        <w:t xml:space="preserve"> people with criminal records. He </w:t>
      </w:r>
      <w:r w:rsidR="00A34AD8">
        <w:rPr>
          <w:rFonts w:cstheme="minorHAnsi"/>
          <w:sz w:val="24"/>
          <w:szCs w:val="24"/>
        </w:rPr>
        <w:t>went</w:t>
      </w:r>
      <w:r>
        <w:rPr>
          <w:rFonts w:cstheme="minorHAnsi"/>
          <w:sz w:val="24"/>
          <w:szCs w:val="24"/>
        </w:rPr>
        <w:t xml:space="preserve"> on the say that</w:t>
      </w:r>
      <w:r w:rsidR="00E62317">
        <w:rPr>
          <w:rFonts w:cstheme="minorHAnsi"/>
          <w:sz w:val="24"/>
          <w:szCs w:val="24"/>
        </w:rPr>
        <w:t xml:space="preserve"> </w:t>
      </w:r>
      <w:r w:rsidR="00A34AD8">
        <w:rPr>
          <w:rFonts w:cstheme="minorHAnsi"/>
          <w:sz w:val="24"/>
          <w:szCs w:val="24"/>
        </w:rPr>
        <w:t>it</w:t>
      </w:r>
      <w:r>
        <w:rPr>
          <w:rFonts w:cstheme="minorHAnsi"/>
          <w:sz w:val="24"/>
          <w:szCs w:val="24"/>
        </w:rPr>
        <w:t xml:space="preserve"> is what the act says.</w:t>
      </w:r>
      <w:r w:rsidR="00A06C77">
        <w:rPr>
          <w:rStyle w:val="FootnoteReference"/>
          <w:rFonts w:cstheme="minorHAnsi"/>
          <w:sz w:val="24"/>
          <w:szCs w:val="24"/>
        </w:rPr>
        <w:footnoteReference w:id="135"/>
      </w:r>
      <w:r w:rsidR="00A06C77">
        <w:rPr>
          <w:rFonts w:cstheme="minorHAnsi"/>
          <w:sz w:val="24"/>
          <w:szCs w:val="24"/>
        </w:rPr>
        <w:t xml:space="preserve"> He is so steeped in the OPP culture and common jargon </w:t>
      </w:r>
      <w:r w:rsidR="00E62317">
        <w:rPr>
          <w:rFonts w:cstheme="minorHAnsi"/>
          <w:sz w:val="24"/>
          <w:szCs w:val="24"/>
        </w:rPr>
        <w:t xml:space="preserve">exclusive to the OPP </w:t>
      </w:r>
      <w:r w:rsidR="00A06C77">
        <w:rPr>
          <w:rFonts w:cstheme="minorHAnsi"/>
          <w:sz w:val="24"/>
          <w:szCs w:val="24"/>
        </w:rPr>
        <w:t xml:space="preserve">that he </w:t>
      </w:r>
      <w:r w:rsidR="00A34AD8">
        <w:rPr>
          <w:rFonts w:cstheme="minorHAnsi"/>
          <w:sz w:val="24"/>
          <w:szCs w:val="24"/>
        </w:rPr>
        <w:t>could not</w:t>
      </w:r>
      <w:r w:rsidR="00A06C77">
        <w:rPr>
          <w:rFonts w:cstheme="minorHAnsi"/>
          <w:sz w:val="24"/>
          <w:szCs w:val="24"/>
        </w:rPr>
        <w:t xml:space="preserve"> see the truth. </w:t>
      </w:r>
      <w:r w:rsidR="001429F2">
        <w:rPr>
          <w:rFonts w:cstheme="minorHAnsi"/>
          <w:sz w:val="24"/>
          <w:szCs w:val="24"/>
        </w:rPr>
        <w:t>Butorac</w:t>
      </w:r>
      <w:r w:rsidR="00A06C77">
        <w:rPr>
          <w:rFonts w:cstheme="minorHAnsi"/>
          <w:sz w:val="24"/>
          <w:szCs w:val="24"/>
        </w:rPr>
        <w:t xml:space="preserve"> naturally believes the term ‘</w:t>
      </w:r>
      <w:r w:rsidR="001429F2">
        <w:rPr>
          <w:rFonts w:cstheme="minorHAnsi"/>
          <w:sz w:val="24"/>
          <w:szCs w:val="24"/>
        </w:rPr>
        <w:t>Undesirables</w:t>
      </w:r>
      <w:r w:rsidR="00A06C77">
        <w:rPr>
          <w:rFonts w:cstheme="minorHAnsi"/>
          <w:sz w:val="24"/>
          <w:szCs w:val="24"/>
        </w:rPr>
        <w:t xml:space="preserve">’ is a legal expression used by an Act of parliament to reference people with criminal records. This is what the </w:t>
      </w:r>
      <w:r w:rsidR="00902709">
        <w:rPr>
          <w:rFonts w:cstheme="minorHAnsi"/>
          <w:sz w:val="24"/>
          <w:szCs w:val="24"/>
        </w:rPr>
        <w:t>Applicant</w:t>
      </w:r>
      <w:r w:rsidR="00A06C77">
        <w:rPr>
          <w:rFonts w:cstheme="minorHAnsi"/>
          <w:sz w:val="24"/>
          <w:szCs w:val="24"/>
        </w:rPr>
        <w:t xml:space="preserve"> referred to in his opening address </w:t>
      </w:r>
      <w:r w:rsidR="00E62317">
        <w:rPr>
          <w:rFonts w:cstheme="minorHAnsi"/>
          <w:sz w:val="24"/>
          <w:szCs w:val="24"/>
        </w:rPr>
        <w:t>w</w:t>
      </w:r>
      <w:r w:rsidR="00A06C77">
        <w:rPr>
          <w:rFonts w:cstheme="minorHAnsi"/>
          <w:sz w:val="24"/>
          <w:szCs w:val="24"/>
        </w:rPr>
        <w:t xml:space="preserve">hen this hearing began several years ago: </w:t>
      </w:r>
    </w:p>
    <w:p w:rsidR="00E62317" w:rsidRPr="00E62317" w:rsidRDefault="00E62317" w:rsidP="00A34AD8">
      <w:pPr>
        <w:pStyle w:val="ListParagraph"/>
        <w:spacing w:line="240" w:lineRule="auto"/>
        <w:rPr>
          <w:rFonts w:cstheme="minorHAnsi"/>
          <w:sz w:val="24"/>
          <w:szCs w:val="24"/>
        </w:rPr>
      </w:pPr>
    </w:p>
    <w:p w:rsidR="009B0597" w:rsidRDefault="00A06C77" w:rsidP="00C94ECF">
      <w:pPr>
        <w:pStyle w:val="ListParagraph"/>
        <w:ind w:left="1440"/>
        <w:rPr>
          <w:rFonts w:cstheme="minorHAnsi"/>
          <w:i/>
          <w:sz w:val="24"/>
          <w:szCs w:val="24"/>
        </w:rPr>
      </w:pPr>
      <w:r>
        <w:rPr>
          <w:rFonts w:cstheme="minorHAnsi"/>
          <w:sz w:val="24"/>
          <w:szCs w:val="24"/>
        </w:rPr>
        <w:t>‘</w:t>
      </w:r>
      <w:r w:rsidRPr="00A06C77">
        <w:rPr>
          <w:rFonts w:cstheme="minorHAnsi"/>
          <w:i/>
          <w:sz w:val="24"/>
          <w:szCs w:val="24"/>
        </w:rPr>
        <w:t>The evidence that you are about to hear will shock you to the core. You will hear how an organization of the Ontario Public Service violates the Human Rights Code by referring to certain Canadian citizens as ‘Undesirables’.</w:t>
      </w:r>
      <w:r w:rsidRPr="00A06C77">
        <w:rPr>
          <w:rStyle w:val="FootnoteReference"/>
          <w:rFonts w:cstheme="minorHAnsi"/>
          <w:i/>
          <w:sz w:val="24"/>
          <w:szCs w:val="24"/>
        </w:rPr>
        <w:footnoteReference w:id="136"/>
      </w:r>
      <w:r w:rsidR="009B0597" w:rsidRPr="00A06C77">
        <w:rPr>
          <w:rFonts w:cstheme="minorHAnsi"/>
          <w:i/>
          <w:sz w:val="24"/>
          <w:szCs w:val="24"/>
        </w:rPr>
        <w:t xml:space="preserve"> </w:t>
      </w:r>
    </w:p>
    <w:p w:rsidR="002A35AE" w:rsidRDefault="002A35AE" w:rsidP="00A34AD8">
      <w:pPr>
        <w:pStyle w:val="ListParagraph"/>
        <w:spacing w:line="240" w:lineRule="auto"/>
        <w:ind w:left="1440"/>
        <w:rPr>
          <w:rFonts w:cstheme="minorHAnsi"/>
          <w:i/>
          <w:sz w:val="24"/>
          <w:szCs w:val="24"/>
        </w:rPr>
      </w:pPr>
    </w:p>
    <w:p w:rsidR="00E02C35" w:rsidRDefault="00A06C77" w:rsidP="00C94ECF">
      <w:pPr>
        <w:pStyle w:val="ListParagraph"/>
        <w:numPr>
          <w:ilvl w:val="0"/>
          <w:numId w:val="2"/>
        </w:numPr>
        <w:ind w:hanging="720"/>
        <w:rPr>
          <w:rFonts w:cstheme="minorHAnsi"/>
          <w:sz w:val="24"/>
          <w:szCs w:val="24"/>
        </w:rPr>
      </w:pPr>
      <w:r>
        <w:rPr>
          <w:rFonts w:cstheme="minorHAnsi"/>
          <w:sz w:val="24"/>
          <w:szCs w:val="24"/>
        </w:rPr>
        <w:t xml:space="preserve">The </w:t>
      </w:r>
      <w:r w:rsidR="00902709">
        <w:rPr>
          <w:rFonts w:cstheme="minorHAnsi"/>
          <w:sz w:val="24"/>
          <w:szCs w:val="24"/>
        </w:rPr>
        <w:t>Applicant</w:t>
      </w:r>
      <w:r>
        <w:rPr>
          <w:rFonts w:cstheme="minorHAnsi"/>
          <w:sz w:val="24"/>
          <w:szCs w:val="24"/>
        </w:rPr>
        <w:t xml:space="preserve"> does not know how this </w:t>
      </w:r>
      <w:r w:rsidR="00835FB2">
        <w:rPr>
          <w:rFonts w:cstheme="minorHAnsi"/>
          <w:sz w:val="24"/>
          <w:szCs w:val="24"/>
        </w:rPr>
        <w:t>Tribunal</w:t>
      </w:r>
      <w:r>
        <w:rPr>
          <w:rFonts w:cstheme="minorHAnsi"/>
          <w:sz w:val="24"/>
          <w:szCs w:val="24"/>
        </w:rPr>
        <w:t xml:space="preserve"> is goi</w:t>
      </w:r>
      <w:r w:rsidR="00D21D57">
        <w:rPr>
          <w:rFonts w:cstheme="minorHAnsi"/>
          <w:sz w:val="24"/>
          <w:szCs w:val="24"/>
        </w:rPr>
        <w:t>n</w:t>
      </w:r>
      <w:r>
        <w:rPr>
          <w:rFonts w:cstheme="minorHAnsi"/>
          <w:sz w:val="24"/>
          <w:szCs w:val="24"/>
        </w:rPr>
        <w:t xml:space="preserve">g to address </w:t>
      </w:r>
      <w:r w:rsidR="00D21D57">
        <w:rPr>
          <w:rFonts w:cstheme="minorHAnsi"/>
          <w:sz w:val="24"/>
          <w:szCs w:val="24"/>
        </w:rPr>
        <w:t xml:space="preserve">this abuse of the Human </w:t>
      </w:r>
      <w:r w:rsidR="00E62317">
        <w:rPr>
          <w:rFonts w:cstheme="minorHAnsi"/>
          <w:sz w:val="24"/>
          <w:szCs w:val="24"/>
        </w:rPr>
        <w:t>R</w:t>
      </w:r>
      <w:r w:rsidR="00D21D57">
        <w:rPr>
          <w:rFonts w:cstheme="minorHAnsi"/>
          <w:sz w:val="24"/>
          <w:szCs w:val="24"/>
        </w:rPr>
        <w:t xml:space="preserve">ights Code by a ministry of </w:t>
      </w:r>
      <w:r>
        <w:rPr>
          <w:rFonts w:cstheme="minorHAnsi"/>
          <w:sz w:val="24"/>
          <w:szCs w:val="24"/>
        </w:rPr>
        <w:t xml:space="preserve">the government of Ontario </w:t>
      </w:r>
      <w:r w:rsidR="00D21D57">
        <w:rPr>
          <w:rFonts w:cstheme="minorHAnsi"/>
          <w:sz w:val="24"/>
          <w:szCs w:val="24"/>
        </w:rPr>
        <w:t>for it is something that is steeped in OPP culture to the point that it is used without any ill conscious. But he firmly believes that it is something that has to be addressed.</w:t>
      </w:r>
    </w:p>
    <w:p w:rsidR="006D35F1" w:rsidRDefault="006D35F1" w:rsidP="00A34AD8">
      <w:pPr>
        <w:pStyle w:val="ListParagraph"/>
        <w:spacing w:line="240" w:lineRule="auto"/>
        <w:rPr>
          <w:rFonts w:cstheme="minorHAnsi"/>
          <w:sz w:val="24"/>
          <w:szCs w:val="24"/>
        </w:rPr>
      </w:pPr>
    </w:p>
    <w:p w:rsidR="00A33473" w:rsidRPr="00A33473" w:rsidRDefault="00A33473" w:rsidP="00B80C3B">
      <w:pPr>
        <w:pStyle w:val="ListParagraph"/>
        <w:numPr>
          <w:ilvl w:val="0"/>
          <w:numId w:val="2"/>
        </w:numPr>
        <w:ind w:hanging="720"/>
        <w:rPr>
          <w:rFonts w:cstheme="minorHAnsi"/>
          <w:sz w:val="24"/>
          <w:szCs w:val="24"/>
        </w:rPr>
      </w:pPr>
      <w:r w:rsidRPr="00AC011A">
        <w:rPr>
          <w:rFonts w:cstheme="minorHAnsi"/>
          <w:sz w:val="24"/>
          <w:szCs w:val="24"/>
        </w:rPr>
        <w:t xml:space="preserve">The traffic </w:t>
      </w:r>
      <w:r>
        <w:rPr>
          <w:rFonts w:cstheme="minorHAnsi"/>
          <w:sz w:val="24"/>
          <w:szCs w:val="24"/>
        </w:rPr>
        <w:t xml:space="preserve">accident </w:t>
      </w:r>
      <w:r w:rsidRPr="00AC011A">
        <w:rPr>
          <w:rFonts w:cstheme="minorHAnsi"/>
          <w:sz w:val="24"/>
          <w:szCs w:val="24"/>
        </w:rPr>
        <w:t xml:space="preserve">reports </w:t>
      </w:r>
      <w:r>
        <w:rPr>
          <w:rFonts w:cstheme="minorHAnsi"/>
          <w:sz w:val="24"/>
          <w:szCs w:val="24"/>
        </w:rPr>
        <w:t xml:space="preserve">completed by the </w:t>
      </w:r>
      <w:r w:rsidR="00902709">
        <w:rPr>
          <w:rFonts w:cstheme="minorHAnsi"/>
          <w:sz w:val="24"/>
          <w:szCs w:val="24"/>
        </w:rPr>
        <w:t>Applicant</w:t>
      </w:r>
      <w:r>
        <w:rPr>
          <w:rFonts w:cstheme="minorHAnsi"/>
          <w:sz w:val="24"/>
          <w:szCs w:val="24"/>
        </w:rPr>
        <w:t xml:space="preserve"> </w:t>
      </w:r>
      <w:r w:rsidRPr="00AC011A">
        <w:rPr>
          <w:rFonts w:cstheme="minorHAnsi"/>
          <w:sz w:val="24"/>
          <w:szCs w:val="24"/>
        </w:rPr>
        <w:t xml:space="preserve">must have </w:t>
      </w:r>
      <w:r w:rsidR="00192B7A">
        <w:rPr>
          <w:rFonts w:cstheme="minorHAnsi"/>
          <w:sz w:val="24"/>
          <w:szCs w:val="24"/>
        </w:rPr>
        <w:t>indeed been</w:t>
      </w:r>
      <w:r>
        <w:rPr>
          <w:rFonts w:cstheme="minorHAnsi"/>
          <w:sz w:val="24"/>
          <w:szCs w:val="24"/>
        </w:rPr>
        <w:t xml:space="preserve"> done superbly well </w:t>
      </w:r>
      <w:r w:rsidRPr="00AC011A">
        <w:rPr>
          <w:rFonts w:cstheme="minorHAnsi"/>
          <w:sz w:val="24"/>
          <w:szCs w:val="24"/>
        </w:rPr>
        <w:t xml:space="preserve">in order for Butorac to remember them 7 years later. At least this piece of </w:t>
      </w:r>
      <w:r>
        <w:rPr>
          <w:rFonts w:cstheme="minorHAnsi"/>
          <w:sz w:val="24"/>
          <w:szCs w:val="24"/>
        </w:rPr>
        <w:t>Butorac’s</w:t>
      </w:r>
      <w:r w:rsidRPr="00AC011A">
        <w:rPr>
          <w:rFonts w:cstheme="minorHAnsi"/>
          <w:sz w:val="24"/>
          <w:szCs w:val="24"/>
        </w:rPr>
        <w:t xml:space="preserve"> testimony</w:t>
      </w:r>
      <w:r>
        <w:rPr>
          <w:rStyle w:val="FootnoteReference"/>
          <w:rFonts w:cstheme="minorHAnsi"/>
          <w:sz w:val="24"/>
          <w:szCs w:val="24"/>
        </w:rPr>
        <w:footnoteReference w:id="137"/>
      </w:r>
      <w:r w:rsidRPr="00AC011A">
        <w:rPr>
          <w:rFonts w:cstheme="minorHAnsi"/>
          <w:sz w:val="24"/>
          <w:szCs w:val="24"/>
        </w:rPr>
        <w:t xml:space="preserve"> supports </w:t>
      </w:r>
      <w:r w:rsidR="00192B7A">
        <w:rPr>
          <w:rFonts w:cstheme="minorHAnsi"/>
          <w:sz w:val="24"/>
          <w:szCs w:val="24"/>
        </w:rPr>
        <w:t xml:space="preserve">the </w:t>
      </w:r>
      <w:r w:rsidR="00902709">
        <w:rPr>
          <w:rFonts w:cstheme="minorHAnsi"/>
          <w:sz w:val="24"/>
          <w:szCs w:val="24"/>
        </w:rPr>
        <w:t>Applicant</w:t>
      </w:r>
      <w:r>
        <w:rPr>
          <w:rFonts w:cstheme="minorHAnsi"/>
          <w:sz w:val="24"/>
          <w:szCs w:val="24"/>
        </w:rPr>
        <w:t xml:space="preserve">’s </w:t>
      </w:r>
      <w:r w:rsidRPr="00AC011A">
        <w:rPr>
          <w:rFonts w:cstheme="minorHAnsi"/>
          <w:sz w:val="24"/>
          <w:szCs w:val="24"/>
        </w:rPr>
        <w:t>testimony that this verbal commendation did take place.</w:t>
      </w:r>
      <w:r>
        <w:rPr>
          <w:rStyle w:val="FootnoteReference"/>
          <w:rFonts w:cstheme="minorHAnsi"/>
          <w:sz w:val="24"/>
          <w:szCs w:val="24"/>
        </w:rPr>
        <w:footnoteReference w:id="138"/>
      </w:r>
      <w:r w:rsidRPr="00AC011A">
        <w:rPr>
          <w:rFonts w:cstheme="minorHAnsi"/>
          <w:sz w:val="24"/>
          <w:szCs w:val="24"/>
        </w:rPr>
        <w:t xml:space="preserve"> </w:t>
      </w:r>
      <w:r w:rsidR="00110C43">
        <w:rPr>
          <w:rFonts w:cstheme="minorHAnsi"/>
          <w:sz w:val="24"/>
          <w:szCs w:val="24"/>
        </w:rPr>
        <w:t>J</w:t>
      </w:r>
      <w:r w:rsidR="00A34AD8" w:rsidRPr="00110C43">
        <w:rPr>
          <w:rFonts w:cstheme="minorHAnsi"/>
          <w:sz w:val="24"/>
          <w:szCs w:val="24"/>
        </w:rPr>
        <w:t>ust like in other cases</w:t>
      </w:r>
      <w:r w:rsidR="00110C43">
        <w:rPr>
          <w:rFonts w:cstheme="minorHAnsi"/>
          <w:sz w:val="24"/>
          <w:szCs w:val="24"/>
        </w:rPr>
        <w:t>,</w:t>
      </w:r>
      <w:r w:rsidR="00A34AD8" w:rsidRPr="00110C43">
        <w:rPr>
          <w:rFonts w:cstheme="minorHAnsi"/>
          <w:sz w:val="24"/>
          <w:szCs w:val="24"/>
        </w:rPr>
        <w:t xml:space="preserve"> neither </w:t>
      </w:r>
      <w:r w:rsidR="00B80C3B" w:rsidRPr="00110C43">
        <w:rPr>
          <w:rFonts w:cstheme="minorHAnsi"/>
          <w:sz w:val="24"/>
          <w:szCs w:val="24"/>
        </w:rPr>
        <w:t xml:space="preserve">formal </w:t>
      </w:r>
      <w:r w:rsidR="00A34AD8" w:rsidRPr="00110C43">
        <w:rPr>
          <w:rFonts w:cstheme="minorHAnsi"/>
          <w:sz w:val="24"/>
          <w:szCs w:val="24"/>
        </w:rPr>
        <w:t xml:space="preserve">positive documentation nor even a </w:t>
      </w:r>
      <w:r w:rsidR="00B80C3B" w:rsidRPr="00110C43">
        <w:rPr>
          <w:rFonts w:cstheme="minorHAnsi"/>
          <w:sz w:val="24"/>
          <w:szCs w:val="24"/>
        </w:rPr>
        <w:t xml:space="preserve">simple </w:t>
      </w:r>
      <w:r w:rsidR="00A34AD8" w:rsidRPr="00110C43">
        <w:rPr>
          <w:rFonts w:cstheme="minorHAnsi"/>
          <w:sz w:val="24"/>
          <w:szCs w:val="24"/>
        </w:rPr>
        <w:t>positive entry in a PER ever reflected it.</w:t>
      </w:r>
      <w:r w:rsidR="00A34AD8">
        <w:rPr>
          <w:rFonts w:cstheme="minorHAnsi"/>
          <w:sz w:val="24"/>
          <w:szCs w:val="24"/>
        </w:rPr>
        <w:t xml:space="preserve"> </w:t>
      </w:r>
    </w:p>
    <w:p w:rsidR="00A33473" w:rsidRPr="00A33473" w:rsidRDefault="00A33473" w:rsidP="00A34AD8">
      <w:pPr>
        <w:pStyle w:val="ListParagraph"/>
        <w:spacing w:line="240" w:lineRule="auto"/>
        <w:rPr>
          <w:rFonts w:cstheme="minorHAnsi"/>
          <w:sz w:val="24"/>
          <w:szCs w:val="24"/>
        </w:rPr>
      </w:pPr>
    </w:p>
    <w:p w:rsidR="00453ECD" w:rsidRDefault="00F65978" w:rsidP="00A34AD8">
      <w:pPr>
        <w:pStyle w:val="ListParagraph"/>
        <w:numPr>
          <w:ilvl w:val="0"/>
          <w:numId w:val="2"/>
        </w:numPr>
        <w:ind w:hanging="720"/>
        <w:rPr>
          <w:rFonts w:cstheme="minorHAnsi"/>
          <w:sz w:val="24"/>
          <w:szCs w:val="24"/>
        </w:rPr>
      </w:pPr>
      <w:r>
        <w:rPr>
          <w:rFonts w:cstheme="minorHAnsi"/>
          <w:sz w:val="24"/>
          <w:szCs w:val="24"/>
        </w:rPr>
        <w:t>It was also Butorac who</w:t>
      </w:r>
      <w:r w:rsidR="00E62317">
        <w:rPr>
          <w:rFonts w:cstheme="minorHAnsi"/>
          <w:sz w:val="24"/>
          <w:szCs w:val="24"/>
        </w:rPr>
        <w:t>,</w:t>
      </w:r>
      <w:r>
        <w:rPr>
          <w:rFonts w:cstheme="minorHAnsi"/>
          <w:sz w:val="24"/>
          <w:szCs w:val="24"/>
        </w:rPr>
        <w:t xml:space="preserve"> in serving the </w:t>
      </w:r>
      <w:r w:rsidR="00902709">
        <w:rPr>
          <w:rFonts w:cstheme="minorHAnsi"/>
          <w:sz w:val="24"/>
          <w:szCs w:val="24"/>
        </w:rPr>
        <w:t>Applicant</w:t>
      </w:r>
      <w:r>
        <w:rPr>
          <w:rFonts w:cstheme="minorHAnsi"/>
          <w:sz w:val="24"/>
          <w:szCs w:val="24"/>
        </w:rPr>
        <w:t xml:space="preserve"> with his copy of month 8 PER was advised by the </w:t>
      </w:r>
      <w:r w:rsidR="00902709">
        <w:rPr>
          <w:rFonts w:cstheme="minorHAnsi"/>
          <w:sz w:val="24"/>
          <w:szCs w:val="24"/>
        </w:rPr>
        <w:t>Applicant</w:t>
      </w:r>
      <w:r>
        <w:rPr>
          <w:rFonts w:cstheme="minorHAnsi"/>
          <w:sz w:val="24"/>
          <w:szCs w:val="24"/>
        </w:rPr>
        <w:t xml:space="preserve"> that he is willing to sign his month 6/7 PER. Butorac looked for it</w:t>
      </w:r>
      <w:r w:rsidR="00A34AD8">
        <w:rPr>
          <w:rFonts w:cstheme="minorHAnsi"/>
          <w:sz w:val="24"/>
          <w:szCs w:val="24"/>
        </w:rPr>
        <w:t>,</w:t>
      </w:r>
      <w:r>
        <w:rPr>
          <w:rFonts w:cstheme="minorHAnsi"/>
          <w:sz w:val="24"/>
          <w:szCs w:val="24"/>
        </w:rPr>
        <w:t xml:space="preserve"> but realized </w:t>
      </w:r>
      <w:r>
        <w:rPr>
          <w:rFonts w:cstheme="minorHAnsi"/>
          <w:sz w:val="24"/>
          <w:szCs w:val="24"/>
        </w:rPr>
        <w:lastRenderedPageBreak/>
        <w:t xml:space="preserve">that it </w:t>
      </w:r>
      <w:r w:rsidR="001429F2">
        <w:rPr>
          <w:rFonts w:cstheme="minorHAnsi"/>
          <w:sz w:val="24"/>
          <w:szCs w:val="24"/>
        </w:rPr>
        <w:t>had already</w:t>
      </w:r>
      <w:r>
        <w:rPr>
          <w:rFonts w:cstheme="minorHAnsi"/>
          <w:sz w:val="24"/>
          <w:szCs w:val="24"/>
        </w:rPr>
        <w:t xml:space="preserve"> </w:t>
      </w:r>
      <w:r w:rsidR="001429F2">
        <w:rPr>
          <w:rFonts w:cstheme="minorHAnsi"/>
          <w:sz w:val="24"/>
          <w:szCs w:val="24"/>
        </w:rPr>
        <w:t>been</w:t>
      </w:r>
      <w:r w:rsidR="00387ACF">
        <w:rPr>
          <w:rFonts w:cstheme="minorHAnsi"/>
          <w:sz w:val="24"/>
          <w:szCs w:val="24"/>
        </w:rPr>
        <w:t xml:space="preserve"> forward</w:t>
      </w:r>
      <w:r w:rsidR="001429F2">
        <w:rPr>
          <w:rFonts w:cstheme="minorHAnsi"/>
          <w:sz w:val="24"/>
          <w:szCs w:val="24"/>
        </w:rPr>
        <w:t>ed</w:t>
      </w:r>
      <w:r w:rsidR="00387ACF">
        <w:rPr>
          <w:rFonts w:cstheme="minorHAnsi"/>
          <w:sz w:val="24"/>
          <w:szCs w:val="24"/>
        </w:rPr>
        <w:t xml:space="preserve"> to </w:t>
      </w:r>
      <w:r w:rsidR="001429F2">
        <w:rPr>
          <w:rFonts w:cstheme="minorHAnsi"/>
          <w:sz w:val="24"/>
          <w:szCs w:val="24"/>
        </w:rPr>
        <w:t>the region</w:t>
      </w:r>
      <w:r w:rsidR="00387ACF">
        <w:rPr>
          <w:rFonts w:cstheme="minorHAnsi"/>
          <w:sz w:val="24"/>
          <w:szCs w:val="24"/>
        </w:rPr>
        <w:t xml:space="preserve">. This bit of testimony corroborates the </w:t>
      </w:r>
      <w:r w:rsidR="00902709">
        <w:rPr>
          <w:rFonts w:cstheme="minorHAnsi"/>
          <w:sz w:val="24"/>
          <w:szCs w:val="24"/>
        </w:rPr>
        <w:t>Applicant</w:t>
      </w:r>
      <w:r w:rsidR="00387ACF">
        <w:rPr>
          <w:rFonts w:cstheme="minorHAnsi"/>
          <w:sz w:val="24"/>
          <w:szCs w:val="24"/>
        </w:rPr>
        <w:t>’s testimony that he never refused to sign PER 6/7</w:t>
      </w:r>
      <w:r w:rsidR="001429F2">
        <w:rPr>
          <w:rFonts w:cstheme="minorHAnsi"/>
          <w:sz w:val="24"/>
          <w:szCs w:val="24"/>
        </w:rPr>
        <w:t>,</w:t>
      </w:r>
      <w:r w:rsidR="00387ACF">
        <w:rPr>
          <w:rFonts w:cstheme="minorHAnsi"/>
          <w:sz w:val="24"/>
          <w:szCs w:val="24"/>
        </w:rPr>
        <w:t xml:space="preserve"> but merely asked for time</w:t>
      </w:r>
      <w:r w:rsidR="001429F2">
        <w:rPr>
          <w:rFonts w:cstheme="minorHAnsi"/>
          <w:sz w:val="24"/>
          <w:szCs w:val="24"/>
        </w:rPr>
        <w:t xml:space="preserve"> to peruse it and speak to the </w:t>
      </w:r>
      <w:r w:rsidR="001268A0">
        <w:rPr>
          <w:rFonts w:cstheme="minorHAnsi"/>
          <w:sz w:val="24"/>
          <w:szCs w:val="24"/>
        </w:rPr>
        <w:t xml:space="preserve">OPP </w:t>
      </w:r>
      <w:r w:rsidR="001429F2">
        <w:rPr>
          <w:rFonts w:cstheme="minorHAnsi"/>
          <w:sz w:val="24"/>
          <w:szCs w:val="24"/>
        </w:rPr>
        <w:t>A</w:t>
      </w:r>
      <w:r w:rsidR="00387ACF">
        <w:rPr>
          <w:rFonts w:cstheme="minorHAnsi"/>
          <w:sz w:val="24"/>
          <w:szCs w:val="24"/>
        </w:rPr>
        <w:t>ssociation about it. Though Buto</w:t>
      </w:r>
      <w:r w:rsidR="001429F2">
        <w:rPr>
          <w:rFonts w:cstheme="minorHAnsi"/>
          <w:sz w:val="24"/>
          <w:szCs w:val="24"/>
        </w:rPr>
        <w:t xml:space="preserve">rac was originally </w:t>
      </w:r>
      <w:r w:rsidR="00387ACF">
        <w:rPr>
          <w:rFonts w:cstheme="minorHAnsi"/>
          <w:sz w:val="24"/>
          <w:szCs w:val="24"/>
        </w:rPr>
        <w:t xml:space="preserve">confused about the two PERs he finally acknowledged that it was month 8 PER that he served on the </w:t>
      </w:r>
      <w:r w:rsidR="00902709">
        <w:rPr>
          <w:rFonts w:cstheme="minorHAnsi"/>
          <w:sz w:val="24"/>
          <w:szCs w:val="24"/>
        </w:rPr>
        <w:t>Applicant</w:t>
      </w:r>
      <w:r w:rsidR="00387ACF">
        <w:rPr>
          <w:rFonts w:cstheme="minorHAnsi"/>
          <w:sz w:val="24"/>
          <w:szCs w:val="24"/>
        </w:rPr>
        <w:t xml:space="preserve">. He also recalled that there was one evaluation with the word ‘REFUSED’ in place of </w:t>
      </w:r>
      <w:r w:rsidR="00A34AD8">
        <w:rPr>
          <w:rFonts w:cstheme="minorHAnsi"/>
          <w:sz w:val="24"/>
          <w:szCs w:val="24"/>
        </w:rPr>
        <w:t>the Applicant’s</w:t>
      </w:r>
      <w:r w:rsidR="00387ACF">
        <w:rPr>
          <w:rFonts w:cstheme="minorHAnsi"/>
          <w:sz w:val="24"/>
          <w:szCs w:val="24"/>
        </w:rPr>
        <w:t xml:space="preserve"> signature. </w:t>
      </w:r>
      <w:r w:rsidR="00A34AD8">
        <w:rPr>
          <w:rFonts w:cstheme="minorHAnsi"/>
          <w:sz w:val="24"/>
          <w:szCs w:val="24"/>
        </w:rPr>
        <w:t>Butorac</w:t>
      </w:r>
      <w:r w:rsidR="00387ACF">
        <w:rPr>
          <w:rFonts w:cstheme="minorHAnsi"/>
          <w:sz w:val="24"/>
          <w:szCs w:val="24"/>
        </w:rPr>
        <w:t xml:space="preserve"> could not remember if it was 6/7 or 8 PER</w:t>
      </w:r>
      <w:r w:rsidR="001429F2">
        <w:rPr>
          <w:rFonts w:cstheme="minorHAnsi"/>
          <w:sz w:val="24"/>
          <w:szCs w:val="24"/>
        </w:rPr>
        <w:t>,</w:t>
      </w:r>
      <w:r w:rsidR="00387ACF">
        <w:rPr>
          <w:rFonts w:cstheme="minorHAnsi"/>
          <w:sz w:val="24"/>
          <w:szCs w:val="24"/>
        </w:rPr>
        <w:t xml:space="preserve"> but it is obvious it was 8 for </w:t>
      </w:r>
      <w:r w:rsidR="00A34AD8">
        <w:rPr>
          <w:rFonts w:cstheme="minorHAnsi"/>
          <w:sz w:val="24"/>
          <w:szCs w:val="24"/>
        </w:rPr>
        <w:t>Butorac</w:t>
      </w:r>
      <w:r w:rsidR="00387ACF">
        <w:rPr>
          <w:rFonts w:cstheme="minorHAnsi"/>
          <w:sz w:val="24"/>
          <w:szCs w:val="24"/>
        </w:rPr>
        <w:t xml:space="preserve"> never </w:t>
      </w:r>
      <w:r w:rsidR="001429F2">
        <w:rPr>
          <w:rFonts w:cstheme="minorHAnsi"/>
          <w:sz w:val="24"/>
          <w:szCs w:val="24"/>
        </w:rPr>
        <w:t xml:space="preserve">took part in the service of 6/7, </w:t>
      </w:r>
      <w:r w:rsidR="00387ACF">
        <w:rPr>
          <w:rFonts w:cstheme="minorHAnsi"/>
          <w:sz w:val="24"/>
          <w:szCs w:val="24"/>
        </w:rPr>
        <w:t>but only forward</w:t>
      </w:r>
      <w:r w:rsidR="001429F2">
        <w:rPr>
          <w:rFonts w:cstheme="minorHAnsi"/>
          <w:sz w:val="24"/>
          <w:szCs w:val="24"/>
        </w:rPr>
        <w:t>ed</w:t>
      </w:r>
      <w:r w:rsidR="00387ACF">
        <w:rPr>
          <w:rFonts w:cstheme="minorHAnsi"/>
          <w:sz w:val="24"/>
          <w:szCs w:val="24"/>
        </w:rPr>
        <w:t xml:space="preserve"> the </w:t>
      </w:r>
      <w:r w:rsidR="00902709">
        <w:rPr>
          <w:rFonts w:cstheme="minorHAnsi"/>
          <w:sz w:val="24"/>
          <w:szCs w:val="24"/>
        </w:rPr>
        <w:t>Applicant</w:t>
      </w:r>
      <w:r w:rsidR="00387ACF">
        <w:rPr>
          <w:rFonts w:cstheme="minorHAnsi"/>
          <w:sz w:val="24"/>
          <w:szCs w:val="24"/>
        </w:rPr>
        <w:t xml:space="preserve">’s rebuttal to it with a cover page that the </w:t>
      </w:r>
      <w:r w:rsidR="00902709">
        <w:rPr>
          <w:rFonts w:cstheme="minorHAnsi"/>
          <w:sz w:val="24"/>
          <w:szCs w:val="24"/>
        </w:rPr>
        <w:t>Applicant</w:t>
      </w:r>
      <w:r w:rsidR="00387ACF">
        <w:rPr>
          <w:rFonts w:cstheme="minorHAnsi"/>
          <w:sz w:val="24"/>
          <w:szCs w:val="24"/>
        </w:rPr>
        <w:t xml:space="preserve"> wished to sign it but it was already gone.</w:t>
      </w:r>
      <w:r w:rsidR="00387ACF">
        <w:rPr>
          <w:rStyle w:val="FootnoteReference"/>
          <w:rFonts w:cstheme="minorHAnsi"/>
          <w:sz w:val="24"/>
          <w:szCs w:val="24"/>
        </w:rPr>
        <w:footnoteReference w:id="139"/>
      </w:r>
    </w:p>
    <w:p w:rsidR="006D35F1" w:rsidRDefault="006D35F1" w:rsidP="00060DE8">
      <w:pPr>
        <w:pStyle w:val="ListParagraph"/>
        <w:spacing w:line="240" w:lineRule="auto"/>
        <w:rPr>
          <w:rFonts w:cstheme="minorHAnsi"/>
          <w:sz w:val="24"/>
          <w:szCs w:val="24"/>
        </w:rPr>
      </w:pPr>
    </w:p>
    <w:p w:rsidR="001268A0" w:rsidRDefault="00453ECD" w:rsidP="00C94ECF">
      <w:pPr>
        <w:pStyle w:val="ListParagraph"/>
        <w:numPr>
          <w:ilvl w:val="0"/>
          <w:numId w:val="2"/>
        </w:numPr>
        <w:ind w:hanging="720"/>
        <w:rPr>
          <w:rFonts w:cstheme="minorHAnsi"/>
          <w:sz w:val="24"/>
          <w:szCs w:val="24"/>
        </w:rPr>
      </w:pPr>
      <w:r w:rsidRPr="00AA018E">
        <w:rPr>
          <w:rFonts w:cstheme="minorHAnsi"/>
          <w:sz w:val="24"/>
          <w:szCs w:val="24"/>
        </w:rPr>
        <w:t xml:space="preserve">Butorac’s testimony here also reveals </w:t>
      </w:r>
      <w:r w:rsidR="00192B7A">
        <w:rPr>
          <w:rFonts w:cstheme="minorHAnsi"/>
          <w:sz w:val="24"/>
          <w:szCs w:val="24"/>
        </w:rPr>
        <w:t xml:space="preserve">more obstruction of justice on the part of the </w:t>
      </w:r>
      <w:r w:rsidR="00883BF1">
        <w:rPr>
          <w:rFonts w:cstheme="minorHAnsi"/>
          <w:sz w:val="24"/>
          <w:szCs w:val="24"/>
        </w:rPr>
        <w:t>Respondent</w:t>
      </w:r>
      <w:r w:rsidR="00192B7A">
        <w:rPr>
          <w:rFonts w:cstheme="minorHAnsi"/>
          <w:sz w:val="24"/>
          <w:szCs w:val="24"/>
        </w:rPr>
        <w:t>.</w:t>
      </w:r>
      <w:r w:rsidRPr="00AA018E">
        <w:rPr>
          <w:rFonts w:cstheme="minorHAnsi"/>
          <w:sz w:val="24"/>
          <w:szCs w:val="24"/>
        </w:rPr>
        <w:t xml:space="preserve"> The </w:t>
      </w:r>
      <w:r w:rsidR="0023626C">
        <w:rPr>
          <w:rFonts w:cstheme="minorHAnsi"/>
          <w:sz w:val="24"/>
          <w:szCs w:val="24"/>
        </w:rPr>
        <w:t>Respondent</w:t>
      </w:r>
      <w:r w:rsidRPr="00AA018E">
        <w:rPr>
          <w:rFonts w:cstheme="minorHAnsi"/>
          <w:sz w:val="24"/>
          <w:szCs w:val="24"/>
        </w:rPr>
        <w:t xml:space="preserve"> has deliberately masked out information from certain document</w:t>
      </w:r>
      <w:r w:rsidR="003065AE">
        <w:rPr>
          <w:rFonts w:cstheme="minorHAnsi"/>
          <w:sz w:val="24"/>
          <w:szCs w:val="24"/>
        </w:rPr>
        <w:t>s</w:t>
      </w:r>
      <w:r w:rsidRPr="00AA018E">
        <w:rPr>
          <w:rFonts w:cstheme="minorHAnsi"/>
          <w:sz w:val="24"/>
          <w:szCs w:val="24"/>
        </w:rPr>
        <w:t xml:space="preserve"> that would provide material evidence to the issues at hand in his application and this hearing. The </w:t>
      </w:r>
      <w:r w:rsidR="0023626C">
        <w:rPr>
          <w:rFonts w:cstheme="minorHAnsi"/>
          <w:sz w:val="24"/>
          <w:szCs w:val="24"/>
        </w:rPr>
        <w:t>Respondent</w:t>
      </w:r>
      <w:r w:rsidRPr="00AA018E">
        <w:rPr>
          <w:rFonts w:cstheme="minorHAnsi"/>
          <w:sz w:val="24"/>
          <w:szCs w:val="24"/>
        </w:rPr>
        <w:t xml:space="preserve"> blackened out September 11 and 12 notes of </w:t>
      </w:r>
      <w:r w:rsidR="001429F2">
        <w:rPr>
          <w:rFonts w:cstheme="minorHAnsi"/>
          <w:sz w:val="24"/>
          <w:szCs w:val="24"/>
        </w:rPr>
        <w:t xml:space="preserve">the </w:t>
      </w:r>
      <w:r w:rsidR="00902709">
        <w:rPr>
          <w:rFonts w:cstheme="minorHAnsi"/>
          <w:sz w:val="24"/>
          <w:szCs w:val="24"/>
        </w:rPr>
        <w:t>Applicant</w:t>
      </w:r>
      <w:r w:rsidR="001429F2">
        <w:rPr>
          <w:rFonts w:cstheme="minorHAnsi"/>
          <w:sz w:val="24"/>
          <w:szCs w:val="24"/>
        </w:rPr>
        <w:t xml:space="preserve"> </w:t>
      </w:r>
      <w:r w:rsidRPr="00AA018E">
        <w:rPr>
          <w:rFonts w:cstheme="minorHAnsi"/>
          <w:sz w:val="24"/>
          <w:szCs w:val="24"/>
        </w:rPr>
        <w:t>and the word ‘Albanian</w:t>
      </w:r>
      <w:r w:rsidR="00AA018E" w:rsidRPr="00AA018E">
        <w:rPr>
          <w:rFonts w:cstheme="minorHAnsi"/>
          <w:sz w:val="24"/>
          <w:szCs w:val="24"/>
        </w:rPr>
        <w:t>s</w:t>
      </w:r>
      <w:r w:rsidRPr="00AA018E">
        <w:rPr>
          <w:rFonts w:cstheme="minorHAnsi"/>
          <w:sz w:val="24"/>
          <w:szCs w:val="24"/>
        </w:rPr>
        <w:t xml:space="preserve">’ in exhibit </w:t>
      </w:r>
      <w:r w:rsidR="00AA018E" w:rsidRPr="00AA018E">
        <w:rPr>
          <w:rFonts w:cstheme="minorHAnsi"/>
          <w:sz w:val="24"/>
          <w:szCs w:val="24"/>
        </w:rPr>
        <w:t>190. Only when repeated</w:t>
      </w:r>
      <w:r w:rsidR="003065AE">
        <w:rPr>
          <w:rFonts w:cstheme="minorHAnsi"/>
          <w:sz w:val="24"/>
          <w:szCs w:val="24"/>
        </w:rPr>
        <w:t>ly</w:t>
      </w:r>
      <w:r w:rsidR="00AA018E" w:rsidRPr="00AA018E">
        <w:rPr>
          <w:rFonts w:cstheme="minorHAnsi"/>
          <w:sz w:val="24"/>
          <w:szCs w:val="24"/>
        </w:rPr>
        <w:t xml:space="preserve"> asked</w:t>
      </w:r>
      <w:r w:rsidR="00110C43">
        <w:rPr>
          <w:rFonts w:cstheme="minorHAnsi"/>
          <w:sz w:val="24"/>
          <w:szCs w:val="24"/>
        </w:rPr>
        <w:t>,</w:t>
      </w:r>
      <w:r w:rsidR="00AA018E" w:rsidRPr="00AA018E">
        <w:rPr>
          <w:rFonts w:cstheme="minorHAnsi"/>
          <w:sz w:val="24"/>
          <w:szCs w:val="24"/>
        </w:rPr>
        <w:t xml:space="preserve"> did the </w:t>
      </w:r>
      <w:r w:rsidR="0023626C">
        <w:rPr>
          <w:rFonts w:cstheme="minorHAnsi"/>
          <w:sz w:val="24"/>
          <w:szCs w:val="24"/>
        </w:rPr>
        <w:t>Respondent</w:t>
      </w:r>
      <w:r w:rsidR="00AA018E" w:rsidRPr="00AA018E">
        <w:rPr>
          <w:rFonts w:cstheme="minorHAnsi"/>
          <w:sz w:val="24"/>
          <w:szCs w:val="24"/>
        </w:rPr>
        <w:t xml:space="preserve"> provide two pages of the </w:t>
      </w:r>
      <w:r w:rsidR="00902709">
        <w:rPr>
          <w:rFonts w:cstheme="minorHAnsi"/>
          <w:sz w:val="24"/>
          <w:szCs w:val="24"/>
        </w:rPr>
        <w:t>Applicant</w:t>
      </w:r>
      <w:r w:rsidR="003065AE">
        <w:rPr>
          <w:rFonts w:cstheme="minorHAnsi"/>
          <w:sz w:val="24"/>
          <w:szCs w:val="24"/>
        </w:rPr>
        <w:t>’s</w:t>
      </w:r>
      <w:r w:rsidR="00AA018E" w:rsidRPr="00AA018E">
        <w:rPr>
          <w:rFonts w:cstheme="minorHAnsi"/>
          <w:sz w:val="24"/>
          <w:szCs w:val="24"/>
        </w:rPr>
        <w:t xml:space="preserve"> notes for those two dates and it clearly revealed without any blackened portion</w:t>
      </w:r>
      <w:r w:rsidR="001429F2">
        <w:rPr>
          <w:rFonts w:cstheme="minorHAnsi"/>
          <w:sz w:val="24"/>
          <w:szCs w:val="24"/>
        </w:rPr>
        <w:t xml:space="preserve">s what had been masked out: </w:t>
      </w:r>
      <w:r w:rsidR="001429F2" w:rsidRPr="00110C43">
        <w:rPr>
          <w:rFonts w:cstheme="minorHAnsi"/>
          <w:b/>
          <w:sz w:val="24"/>
          <w:szCs w:val="24"/>
        </w:rPr>
        <w:t>Sep.</w:t>
      </w:r>
      <w:r w:rsidR="00AA018E" w:rsidRPr="00110C43">
        <w:rPr>
          <w:rFonts w:cstheme="minorHAnsi"/>
          <w:b/>
          <w:sz w:val="24"/>
          <w:szCs w:val="24"/>
        </w:rPr>
        <w:t xml:space="preserve"> 11 – 12 </w:t>
      </w:r>
      <w:r w:rsidR="001429F2" w:rsidRPr="00110C43">
        <w:rPr>
          <w:rFonts w:cstheme="minorHAnsi"/>
          <w:b/>
          <w:sz w:val="24"/>
          <w:szCs w:val="24"/>
        </w:rPr>
        <w:t>scheduled</w:t>
      </w:r>
      <w:r w:rsidR="00AA018E" w:rsidRPr="00110C43">
        <w:rPr>
          <w:rFonts w:cstheme="minorHAnsi"/>
          <w:b/>
          <w:sz w:val="24"/>
          <w:szCs w:val="24"/>
        </w:rPr>
        <w:t xml:space="preserve"> days off</w:t>
      </w:r>
      <w:r w:rsidR="00AA018E" w:rsidRPr="00AA018E">
        <w:rPr>
          <w:rFonts w:cstheme="minorHAnsi"/>
          <w:sz w:val="24"/>
          <w:szCs w:val="24"/>
        </w:rPr>
        <w:t xml:space="preserve">. As for the word </w:t>
      </w:r>
      <w:r w:rsidR="003065AE">
        <w:rPr>
          <w:rFonts w:cstheme="minorHAnsi"/>
          <w:sz w:val="24"/>
          <w:szCs w:val="24"/>
        </w:rPr>
        <w:t>‘</w:t>
      </w:r>
      <w:r w:rsidR="00AA018E" w:rsidRPr="00110C43">
        <w:rPr>
          <w:rFonts w:cstheme="minorHAnsi"/>
          <w:b/>
          <w:sz w:val="24"/>
          <w:szCs w:val="24"/>
        </w:rPr>
        <w:t>Albanians</w:t>
      </w:r>
      <w:r w:rsidR="003065AE">
        <w:rPr>
          <w:rFonts w:cstheme="minorHAnsi"/>
          <w:sz w:val="24"/>
          <w:szCs w:val="24"/>
        </w:rPr>
        <w:t>’</w:t>
      </w:r>
      <w:r w:rsidR="00AA018E" w:rsidRPr="00AA018E">
        <w:rPr>
          <w:rFonts w:cstheme="minorHAnsi"/>
          <w:sz w:val="24"/>
          <w:szCs w:val="24"/>
        </w:rPr>
        <w:t xml:space="preserve"> it </w:t>
      </w:r>
      <w:r w:rsidR="003065AE">
        <w:rPr>
          <w:rFonts w:cstheme="minorHAnsi"/>
          <w:sz w:val="24"/>
          <w:szCs w:val="24"/>
        </w:rPr>
        <w:t xml:space="preserve">would have been </w:t>
      </w:r>
      <w:r w:rsidR="00AA018E" w:rsidRPr="00AA018E">
        <w:rPr>
          <w:rFonts w:cstheme="minorHAnsi"/>
          <w:sz w:val="24"/>
          <w:szCs w:val="24"/>
        </w:rPr>
        <w:t xml:space="preserve">prejudicial to the position of the </w:t>
      </w:r>
      <w:r w:rsidR="0023626C">
        <w:rPr>
          <w:rFonts w:cstheme="minorHAnsi"/>
          <w:sz w:val="24"/>
          <w:szCs w:val="24"/>
        </w:rPr>
        <w:t>Respondent</w:t>
      </w:r>
      <w:r w:rsidR="00AA018E" w:rsidRPr="00AA018E">
        <w:rPr>
          <w:rFonts w:cstheme="minorHAnsi"/>
          <w:sz w:val="24"/>
          <w:szCs w:val="24"/>
        </w:rPr>
        <w:t xml:space="preserve"> to not mask out who the OPP were referring to as ‘U</w:t>
      </w:r>
      <w:r w:rsidR="001429F2">
        <w:rPr>
          <w:rFonts w:cstheme="minorHAnsi"/>
          <w:sz w:val="24"/>
          <w:szCs w:val="24"/>
        </w:rPr>
        <w:t>ndesirables</w:t>
      </w:r>
      <w:r w:rsidR="00AA018E" w:rsidRPr="00AA018E">
        <w:rPr>
          <w:rFonts w:cstheme="minorHAnsi"/>
          <w:sz w:val="24"/>
          <w:szCs w:val="24"/>
        </w:rPr>
        <w:t>’</w:t>
      </w:r>
      <w:r w:rsidR="00AA018E">
        <w:rPr>
          <w:rFonts w:cstheme="minorHAnsi"/>
          <w:sz w:val="24"/>
          <w:szCs w:val="24"/>
        </w:rPr>
        <w:t xml:space="preserve">. </w:t>
      </w:r>
    </w:p>
    <w:p w:rsidR="001268A0" w:rsidRPr="001268A0" w:rsidRDefault="001268A0" w:rsidP="00060DE8">
      <w:pPr>
        <w:pStyle w:val="ListParagraph"/>
        <w:spacing w:line="240" w:lineRule="auto"/>
        <w:rPr>
          <w:rFonts w:cstheme="minorHAnsi"/>
          <w:sz w:val="24"/>
          <w:szCs w:val="24"/>
        </w:rPr>
      </w:pPr>
    </w:p>
    <w:p w:rsidR="00BA7B52" w:rsidRPr="001268A0" w:rsidRDefault="003065AE" w:rsidP="00C94ECF">
      <w:pPr>
        <w:pStyle w:val="ListParagraph"/>
        <w:numPr>
          <w:ilvl w:val="0"/>
          <w:numId w:val="2"/>
        </w:numPr>
        <w:ind w:hanging="720"/>
        <w:rPr>
          <w:rFonts w:cstheme="minorHAnsi"/>
          <w:sz w:val="24"/>
          <w:szCs w:val="24"/>
        </w:rPr>
      </w:pPr>
      <w:r w:rsidRPr="001268A0">
        <w:rPr>
          <w:rFonts w:cstheme="minorHAnsi"/>
          <w:sz w:val="24"/>
          <w:szCs w:val="24"/>
        </w:rPr>
        <w:t xml:space="preserve">After putting to rest that it was PER 8 that </w:t>
      </w:r>
      <w:r w:rsidR="001429F2" w:rsidRPr="001268A0">
        <w:rPr>
          <w:rFonts w:cstheme="minorHAnsi"/>
          <w:sz w:val="24"/>
          <w:szCs w:val="24"/>
        </w:rPr>
        <w:t>Butorac</w:t>
      </w:r>
      <w:r w:rsidRPr="001268A0">
        <w:rPr>
          <w:rFonts w:cstheme="minorHAnsi"/>
          <w:sz w:val="24"/>
          <w:szCs w:val="24"/>
        </w:rPr>
        <w:t xml:space="preserve"> served on Jack he interrupts the </w:t>
      </w:r>
      <w:r w:rsidR="00902709">
        <w:rPr>
          <w:rFonts w:cstheme="minorHAnsi"/>
          <w:sz w:val="24"/>
          <w:szCs w:val="24"/>
        </w:rPr>
        <w:t>Applicant</w:t>
      </w:r>
      <w:r w:rsidRPr="001268A0">
        <w:rPr>
          <w:rFonts w:cstheme="minorHAnsi"/>
          <w:sz w:val="24"/>
          <w:szCs w:val="24"/>
        </w:rPr>
        <w:t>’s representative by stating, ‘</w:t>
      </w:r>
      <w:r w:rsidRPr="001268A0">
        <w:rPr>
          <w:rFonts w:cstheme="minorHAnsi"/>
          <w:i/>
          <w:sz w:val="24"/>
          <w:szCs w:val="24"/>
        </w:rPr>
        <w:t>My notes continue though, that …</w:t>
      </w:r>
      <w:r w:rsidRPr="001268A0">
        <w:rPr>
          <w:rFonts w:cstheme="minorHAnsi"/>
          <w:sz w:val="24"/>
          <w:szCs w:val="24"/>
        </w:rPr>
        <w:t xml:space="preserve">’. The </w:t>
      </w:r>
      <w:r w:rsidR="00902709">
        <w:rPr>
          <w:rFonts w:cstheme="minorHAnsi"/>
          <w:sz w:val="24"/>
          <w:szCs w:val="24"/>
        </w:rPr>
        <w:t>Applicant</w:t>
      </w:r>
      <w:r w:rsidRPr="001268A0">
        <w:rPr>
          <w:rFonts w:cstheme="minorHAnsi"/>
          <w:sz w:val="24"/>
          <w:szCs w:val="24"/>
        </w:rPr>
        <w:t xml:space="preserve"> tells him that </w:t>
      </w:r>
      <w:r w:rsidR="00BA7B52" w:rsidRPr="001268A0">
        <w:rPr>
          <w:rFonts w:cstheme="minorHAnsi"/>
          <w:sz w:val="24"/>
          <w:szCs w:val="24"/>
        </w:rPr>
        <w:t xml:space="preserve">their copy is blackened out and asks him to read that blackened out portion. Butorac reads, </w:t>
      </w:r>
    </w:p>
    <w:p w:rsidR="00BA7B52" w:rsidRDefault="00BA7B52" w:rsidP="00060DE8">
      <w:pPr>
        <w:pStyle w:val="ListParagraph"/>
        <w:spacing w:line="240" w:lineRule="auto"/>
        <w:rPr>
          <w:rFonts w:cstheme="minorHAnsi"/>
          <w:sz w:val="24"/>
          <w:szCs w:val="24"/>
        </w:rPr>
      </w:pPr>
    </w:p>
    <w:p w:rsidR="00BA7B52" w:rsidRDefault="00BA7B52" w:rsidP="00C94ECF">
      <w:pPr>
        <w:pStyle w:val="ListParagraph"/>
        <w:ind w:left="1440"/>
        <w:rPr>
          <w:rFonts w:cstheme="minorHAnsi"/>
          <w:i/>
          <w:sz w:val="24"/>
          <w:szCs w:val="24"/>
        </w:rPr>
      </w:pPr>
      <w:r>
        <w:rPr>
          <w:rFonts w:cstheme="minorHAnsi"/>
          <w:sz w:val="24"/>
          <w:szCs w:val="24"/>
        </w:rPr>
        <w:t>‘</w:t>
      </w:r>
      <w:r>
        <w:rPr>
          <w:rFonts w:cstheme="minorHAnsi"/>
          <w:i/>
          <w:sz w:val="24"/>
          <w:szCs w:val="24"/>
        </w:rPr>
        <w:t xml:space="preserve">He was asked to sign it and wanted to attach a rebuttal. </w:t>
      </w:r>
      <w:proofErr w:type="gramStart"/>
      <w:r>
        <w:rPr>
          <w:rFonts w:cstheme="minorHAnsi"/>
          <w:i/>
          <w:sz w:val="24"/>
          <w:szCs w:val="24"/>
        </w:rPr>
        <w:t>… but the evaluation was already gone or I couldn’t find it.’</w:t>
      </w:r>
      <w:proofErr w:type="gramEnd"/>
      <w:r>
        <w:rPr>
          <w:rStyle w:val="FootnoteReference"/>
          <w:rFonts w:cstheme="minorHAnsi"/>
          <w:i/>
          <w:sz w:val="24"/>
          <w:szCs w:val="24"/>
        </w:rPr>
        <w:footnoteReference w:id="140"/>
      </w:r>
    </w:p>
    <w:p w:rsidR="00BA7B52" w:rsidRPr="00BA7B52" w:rsidRDefault="00BA7B52" w:rsidP="00060DE8">
      <w:pPr>
        <w:pStyle w:val="ListParagraph"/>
        <w:spacing w:line="240" w:lineRule="auto"/>
        <w:ind w:left="1440"/>
        <w:rPr>
          <w:rFonts w:cstheme="minorHAnsi"/>
          <w:sz w:val="24"/>
          <w:szCs w:val="24"/>
        </w:rPr>
      </w:pPr>
    </w:p>
    <w:p w:rsidR="009F435D" w:rsidRDefault="00BA7B52" w:rsidP="00060DE8">
      <w:pPr>
        <w:pStyle w:val="ListParagraph"/>
        <w:numPr>
          <w:ilvl w:val="0"/>
          <w:numId w:val="2"/>
        </w:numPr>
        <w:ind w:hanging="720"/>
        <w:rPr>
          <w:rFonts w:cstheme="minorHAnsi"/>
          <w:sz w:val="24"/>
          <w:szCs w:val="24"/>
        </w:rPr>
      </w:pPr>
      <w:r>
        <w:rPr>
          <w:rFonts w:cstheme="minorHAnsi"/>
          <w:sz w:val="24"/>
          <w:szCs w:val="24"/>
        </w:rPr>
        <w:t xml:space="preserve">Though the court reporter mistakenly adds the word ‘was’ it is clear that Butorac did not ask him to sign it or anything because </w:t>
      </w:r>
      <w:r w:rsidR="00060DE8">
        <w:rPr>
          <w:rFonts w:cstheme="minorHAnsi"/>
          <w:sz w:val="24"/>
          <w:szCs w:val="24"/>
        </w:rPr>
        <w:t>the Applicant</w:t>
      </w:r>
      <w:r>
        <w:rPr>
          <w:rFonts w:cstheme="minorHAnsi"/>
          <w:sz w:val="24"/>
          <w:szCs w:val="24"/>
        </w:rPr>
        <w:t xml:space="preserve"> was merely handing in his rebuttal to PER 6/7 and asking to sign that PER. This er</w:t>
      </w:r>
      <w:r w:rsidR="009F435D">
        <w:rPr>
          <w:rFonts w:cstheme="minorHAnsi"/>
          <w:sz w:val="24"/>
          <w:szCs w:val="24"/>
        </w:rPr>
        <w:t xml:space="preserve">ror is more clearly exposed in the cover page that Butorac writes and attaches to Jack’s rebuttal, </w:t>
      </w:r>
    </w:p>
    <w:p w:rsidR="009F435D" w:rsidRDefault="009F435D" w:rsidP="00060DE8">
      <w:pPr>
        <w:pStyle w:val="ListParagraph"/>
        <w:spacing w:line="240" w:lineRule="auto"/>
        <w:ind w:left="1440"/>
        <w:rPr>
          <w:rFonts w:cstheme="minorHAnsi"/>
          <w:sz w:val="24"/>
          <w:szCs w:val="24"/>
        </w:rPr>
      </w:pPr>
    </w:p>
    <w:p w:rsidR="009F435D" w:rsidRDefault="009F435D" w:rsidP="00C94ECF">
      <w:pPr>
        <w:pStyle w:val="ListParagraph"/>
        <w:ind w:left="1440"/>
        <w:rPr>
          <w:rFonts w:cstheme="minorHAnsi"/>
          <w:sz w:val="24"/>
          <w:szCs w:val="24"/>
        </w:rPr>
      </w:pPr>
      <w:r>
        <w:rPr>
          <w:rFonts w:cstheme="minorHAnsi"/>
          <w:sz w:val="24"/>
          <w:szCs w:val="24"/>
        </w:rPr>
        <w:t>‘</w:t>
      </w:r>
      <w:r w:rsidRPr="009F435D">
        <w:rPr>
          <w:rFonts w:cstheme="minorHAnsi"/>
          <w:i/>
          <w:sz w:val="24"/>
          <w:szCs w:val="24"/>
        </w:rPr>
        <w:t>Attached is P/C Jack’s response to his 6 month evaluation. He is willing to sign it but when I checked the file has already moved ahead.</w:t>
      </w:r>
      <w:r>
        <w:rPr>
          <w:rFonts w:cstheme="minorHAnsi"/>
          <w:sz w:val="24"/>
          <w:szCs w:val="24"/>
        </w:rPr>
        <w:t>’</w:t>
      </w:r>
      <w:r>
        <w:rPr>
          <w:rStyle w:val="FootnoteReference"/>
          <w:rFonts w:cstheme="minorHAnsi"/>
          <w:sz w:val="24"/>
          <w:szCs w:val="24"/>
        </w:rPr>
        <w:footnoteReference w:id="141"/>
      </w:r>
    </w:p>
    <w:p w:rsidR="009F435D" w:rsidRDefault="009F435D" w:rsidP="00060DE8">
      <w:pPr>
        <w:pStyle w:val="ListParagraph"/>
        <w:spacing w:line="240" w:lineRule="auto"/>
        <w:rPr>
          <w:rFonts w:cstheme="minorHAnsi"/>
          <w:sz w:val="24"/>
          <w:szCs w:val="24"/>
        </w:rPr>
      </w:pPr>
    </w:p>
    <w:p w:rsidR="001268A0" w:rsidRDefault="009F435D" w:rsidP="00C94ECF">
      <w:pPr>
        <w:pStyle w:val="ListParagraph"/>
        <w:numPr>
          <w:ilvl w:val="0"/>
          <w:numId w:val="2"/>
        </w:numPr>
        <w:ind w:hanging="720"/>
        <w:rPr>
          <w:rFonts w:cstheme="minorHAnsi"/>
          <w:sz w:val="24"/>
          <w:szCs w:val="24"/>
        </w:rPr>
      </w:pPr>
      <w:r>
        <w:rPr>
          <w:rFonts w:cstheme="minorHAnsi"/>
          <w:sz w:val="24"/>
          <w:szCs w:val="24"/>
        </w:rPr>
        <w:t>Blackening out this portion of Butorac’s notes had no impact on the release of confidential information</w:t>
      </w:r>
      <w:r w:rsidR="00060DE8">
        <w:rPr>
          <w:rFonts w:cstheme="minorHAnsi"/>
          <w:sz w:val="24"/>
          <w:szCs w:val="24"/>
        </w:rPr>
        <w:t>,</w:t>
      </w:r>
      <w:r>
        <w:rPr>
          <w:rFonts w:cstheme="minorHAnsi"/>
          <w:sz w:val="24"/>
          <w:szCs w:val="24"/>
        </w:rPr>
        <w:t xml:space="preserve"> but every bit of an impact on the </w:t>
      </w:r>
      <w:r w:rsidR="00A40F7A">
        <w:rPr>
          <w:rFonts w:cstheme="minorHAnsi"/>
          <w:sz w:val="24"/>
          <w:szCs w:val="24"/>
        </w:rPr>
        <w:t>Respondent</w:t>
      </w:r>
      <w:r>
        <w:rPr>
          <w:rFonts w:cstheme="minorHAnsi"/>
          <w:sz w:val="24"/>
          <w:szCs w:val="24"/>
        </w:rPr>
        <w:t>’</w:t>
      </w:r>
      <w:r w:rsidR="001268A0">
        <w:rPr>
          <w:rFonts w:cstheme="minorHAnsi"/>
          <w:sz w:val="24"/>
          <w:szCs w:val="24"/>
        </w:rPr>
        <w:t xml:space="preserve">s defense to this application. </w:t>
      </w:r>
    </w:p>
    <w:p w:rsidR="00E02C35" w:rsidRPr="001268A0" w:rsidRDefault="00E02C35" w:rsidP="00060DE8">
      <w:pPr>
        <w:pStyle w:val="ListParagraph"/>
        <w:spacing w:line="240" w:lineRule="auto"/>
        <w:rPr>
          <w:rFonts w:cstheme="minorHAnsi"/>
          <w:sz w:val="24"/>
          <w:szCs w:val="24"/>
        </w:rPr>
      </w:pPr>
      <w:r w:rsidRPr="001268A0">
        <w:rPr>
          <w:rFonts w:cstheme="minorHAnsi"/>
          <w:vanish/>
          <w:sz w:val="24"/>
          <w:szCs w:val="24"/>
        </w:rPr>
        <w:t>L</w:t>
      </w:r>
    </w:p>
    <w:p w:rsidR="006D35F1" w:rsidRDefault="00A40F7A" w:rsidP="00C94ECF">
      <w:pPr>
        <w:pStyle w:val="ListParagraph"/>
        <w:numPr>
          <w:ilvl w:val="0"/>
          <w:numId w:val="2"/>
        </w:numPr>
        <w:ind w:hanging="720"/>
        <w:rPr>
          <w:rFonts w:cstheme="minorHAnsi"/>
          <w:sz w:val="24"/>
          <w:szCs w:val="24"/>
        </w:rPr>
      </w:pPr>
      <w:r>
        <w:rPr>
          <w:rFonts w:cstheme="minorHAnsi"/>
          <w:sz w:val="24"/>
          <w:szCs w:val="24"/>
        </w:rPr>
        <w:lastRenderedPageBreak/>
        <w:t xml:space="preserve">With respect to item 119, </w:t>
      </w:r>
      <w:r w:rsidR="00296BCE">
        <w:rPr>
          <w:rFonts w:cstheme="minorHAnsi"/>
          <w:sz w:val="24"/>
          <w:szCs w:val="24"/>
        </w:rPr>
        <w:t xml:space="preserve">first </w:t>
      </w:r>
      <w:r>
        <w:rPr>
          <w:rFonts w:cstheme="minorHAnsi"/>
          <w:sz w:val="24"/>
          <w:szCs w:val="24"/>
        </w:rPr>
        <w:t>l</w:t>
      </w:r>
      <w:r w:rsidR="00E02C35" w:rsidRPr="006D35F1">
        <w:rPr>
          <w:rFonts w:cstheme="minorHAnsi"/>
          <w:sz w:val="24"/>
          <w:szCs w:val="24"/>
        </w:rPr>
        <w:t xml:space="preserve">et us </w:t>
      </w:r>
      <w:r w:rsidR="006755AF">
        <w:rPr>
          <w:rFonts w:cstheme="minorHAnsi"/>
          <w:sz w:val="24"/>
          <w:szCs w:val="24"/>
        </w:rPr>
        <w:t>re</w:t>
      </w:r>
      <w:r w:rsidR="00E02C35" w:rsidRPr="006D35F1">
        <w:rPr>
          <w:rFonts w:cstheme="minorHAnsi"/>
          <w:sz w:val="24"/>
          <w:szCs w:val="24"/>
        </w:rPr>
        <w:t>examine the facts whether the</w:t>
      </w:r>
      <w:r>
        <w:rPr>
          <w:rFonts w:cstheme="minorHAnsi"/>
          <w:sz w:val="24"/>
          <w:szCs w:val="24"/>
        </w:rPr>
        <w:t xml:space="preserve"> internal</w:t>
      </w:r>
      <w:r w:rsidR="00E02C35" w:rsidRPr="006D35F1">
        <w:rPr>
          <w:rFonts w:cstheme="minorHAnsi"/>
          <w:sz w:val="24"/>
          <w:szCs w:val="24"/>
        </w:rPr>
        <w:t xml:space="preserve"> complaint and the ensuing </w:t>
      </w:r>
      <w:r>
        <w:rPr>
          <w:rFonts w:cstheme="minorHAnsi"/>
          <w:sz w:val="24"/>
          <w:szCs w:val="24"/>
        </w:rPr>
        <w:t xml:space="preserve">PSB </w:t>
      </w:r>
      <w:r w:rsidR="00E02C35" w:rsidRPr="006D35F1">
        <w:rPr>
          <w:rFonts w:cstheme="minorHAnsi"/>
          <w:sz w:val="24"/>
          <w:szCs w:val="24"/>
        </w:rPr>
        <w:t>inv</w:t>
      </w:r>
      <w:r w:rsidR="006D35F1">
        <w:rPr>
          <w:rFonts w:cstheme="minorHAnsi"/>
          <w:sz w:val="24"/>
          <w:szCs w:val="24"/>
        </w:rPr>
        <w:t>estigation was warranted or not:</w:t>
      </w:r>
    </w:p>
    <w:p w:rsidR="0057413D" w:rsidRDefault="0057413D" w:rsidP="00060DE8">
      <w:pPr>
        <w:pStyle w:val="ListParagraph"/>
        <w:spacing w:line="240" w:lineRule="auto"/>
        <w:rPr>
          <w:rFonts w:cstheme="minorHAnsi"/>
          <w:sz w:val="24"/>
          <w:szCs w:val="24"/>
        </w:rPr>
      </w:pPr>
    </w:p>
    <w:p w:rsidR="006D35F1" w:rsidRDefault="00E02C35" w:rsidP="00C94ECF">
      <w:pPr>
        <w:pStyle w:val="ListParagraph"/>
        <w:numPr>
          <w:ilvl w:val="0"/>
          <w:numId w:val="4"/>
        </w:numPr>
        <w:ind w:left="1440"/>
        <w:rPr>
          <w:rFonts w:cstheme="minorHAnsi"/>
          <w:sz w:val="24"/>
          <w:szCs w:val="24"/>
        </w:rPr>
      </w:pPr>
      <w:r w:rsidRPr="006D35F1">
        <w:rPr>
          <w:rFonts w:cstheme="minorHAnsi"/>
          <w:sz w:val="24"/>
          <w:szCs w:val="24"/>
        </w:rPr>
        <w:t xml:space="preserve">In </w:t>
      </w:r>
      <w:r w:rsidR="00A40F7A">
        <w:rPr>
          <w:rFonts w:cstheme="minorHAnsi"/>
          <w:sz w:val="24"/>
          <w:szCs w:val="24"/>
        </w:rPr>
        <w:t>January</w:t>
      </w:r>
      <w:r w:rsidRPr="006D35F1">
        <w:rPr>
          <w:rFonts w:cstheme="minorHAnsi"/>
          <w:sz w:val="24"/>
          <w:szCs w:val="24"/>
        </w:rPr>
        <w:t xml:space="preserve"> 2009 the </w:t>
      </w:r>
      <w:r w:rsidR="00902709">
        <w:rPr>
          <w:rFonts w:cstheme="minorHAnsi"/>
          <w:sz w:val="24"/>
          <w:szCs w:val="24"/>
        </w:rPr>
        <w:t>Applicant</w:t>
      </w:r>
      <w:r w:rsidRPr="006D35F1">
        <w:rPr>
          <w:rFonts w:cstheme="minorHAnsi"/>
          <w:sz w:val="24"/>
          <w:szCs w:val="24"/>
        </w:rPr>
        <w:t xml:space="preserve"> voluntarily introduces a 6 year old photograph with individuals he knew from the GYM with the sole purpose to identify some of them the </w:t>
      </w:r>
      <w:r w:rsidR="00902709">
        <w:rPr>
          <w:rFonts w:cstheme="minorHAnsi"/>
          <w:sz w:val="24"/>
          <w:szCs w:val="24"/>
        </w:rPr>
        <w:t>Applicant</w:t>
      </w:r>
      <w:r w:rsidRPr="006D35F1">
        <w:rPr>
          <w:rFonts w:cstheme="minorHAnsi"/>
          <w:sz w:val="24"/>
          <w:szCs w:val="24"/>
        </w:rPr>
        <w:t xml:space="preserve"> himself deemed to be the ‘bad’ guys</w:t>
      </w:r>
      <w:r w:rsidR="006D35F1">
        <w:rPr>
          <w:rFonts w:cstheme="minorHAnsi"/>
          <w:sz w:val="24"/>
          <w:szCs w:val="24"/>
        </w:rPr>
        <w:t>,</w:t>
      </w:r>
      <w:r w:rsidR="00D80DE4">
        <w:rPr>
          <w:rStyle w:val="FootnoteReference"/>
          <w:rFonts w:cstheme="minorHAnsi"/>
          <w:sz w:val="24"/>
          <w:szCs w:val="24"/>
        </w:rPr>
        <w:footnoteReference w:id="142"/>
      </w:r>
      <w:r w:rsidRPr="006D35F1">
        <w:rPr>
          <w:rFonts w:cstheme="minorHAnsi"/>
          <w:sz w:val="24"/>
          <w:szCs w:val="24"/>
        </w:rPr>
        <w:t xml:space="preserve"> </w:t>
      </w:r>
    </w:p>
    <w:p w:rsidR="006D35F1" w:rsidRDefault="00A40F7A" w:rsidP="003363B9">
      <w:pPr>
        <w:pStyle w:val="ListParagraph"/>
        <w:numPr>
          <w:ilvl w:val="0"/>
          <w:numId w:val="4"/>
        </w:numPr>
        <w:ind w:left="1440"/>
        <w:rPr>
          <w:rFonts w:cstheme="minorHAnsi"/>
          <w:sz w:val="24"/>
          <w:szCs w:val="24"/>
        </w:rPr>
      </w:pPr>
      <w:r>
        <w:rPr>
          <w:rFonts w:cstheme="minorHAnsi"/>
          <w:sz w:val="24"/>
          <w:szCs w:val="24"/>
        </w:rPr>
        <w:t>I</w:t>
      </w:r>
      <w:r w:rsidR="00E02C35" w:rsidRPr="006D35F1">
        <w:rPr>
          <w:rFonts w:cstheme="minorHAnsi"/>
          <w:sz w:val="24"/>
          <w:szCs w:val="24"/>
        </w:rPr>
        <w:t xml:space="preserve">n July 2009 Brockley hears the </w:t>
      </w:r>
      <w:r w:rsidR="00902709">
        <w:rPr>
          <w:rFonts w:cstheme="minorHAnsi"/>
          <w:sz w:val="24"/>
          <w:szCs w:val="24"/>
        </w:rPr>
        <w:t>Applicant</w:t>
      </w:r>
      <w:r w:rsidR="00E02C35" w:rsidRPr="006D35F1">
        <w:rPr>
          <w:rFonts w:cstheme="minorHAnsi"/>
          <w:sz w:val="24"/>
          <w:szCs w:val="24"/>
        </w:rPr>
        <w:t xml:space="preserve"> run the surveillance vehicle plate</w:t>
      </w:r>
      <w:r w:rsidR="003363B9">
        <w:rPr>
          <w:rFonts w:cstheme="minorHAnsi"/>
          <w:sz w:val="24"/>
          <w:szCs w:val="24"/>
        </w:rPr>
        <w:t>,</w:t>
      </w:r>
      <w:r w:rsidR="00E02C35" w:rsidRPr="006D35F1">
        <w:rPr>
          <w:rFonts w:cstheme="minorHAnsi"/>
          <w:sz w:val="24"/>
          <w:szCs w:val="24"/>
        </w:rPr>
        <w:t xml:space="preserve"> which the </w:t>
      </w:r>
      <w:r w:rsidR="00902709">
        <w:rPr>
          <w:rFonts w:cstheme="minorHAnsi"/>
          <w:sz w:val="24"/>
          <w:szCs w:val="24"/>
        </w:rPr>
        <w:t>Applicant</w:t>
      </w:r>
      <w:r w:rsidR="00E02C35" w:rsidRPr="006D35F1">
        <w:rPr>
          <w:rFonts w:cstheme="minorHAnsi"/>
          <w:sz w:val="24"/>
          <w:szCs w:val="24"/>
        </w:rPr>
        <w:t xml:space="preserve"> in fact did not run</w:t>
      </w:r>
      <w:r w:rsidR="006D35F1">
        <w:rPr>
          <w:rFonts w:cstheme="minorHAnsi"/>
          <w:sz w:val="24"/>
          <w:szCs w:val="24"/>
        </w:rPr>
        <w:t>,</w:t>
      </w:r>
    </w:p>
    <w:p w:rsidR="006D35F1" w:rsidRDefault="00A40F7A" w:rsidP="00C94ECF">
      <w:pPr>
        <w:pStyle w:val="ListParagraph"/>
        <w:numPr>
          <w:ilvl w:val="0"/>
          <w:numId w:val="4"/>
        </w:numPr>
        <w:ind w:left="1440"/>
        <w:rPr>
          <w:rFonts w:cstheme="minorHAnsi"/>
          <w:sz w:val="24"/>
          <w:szCs w:val="24"/>
        </w:rPr>
      </w:pPr>
      <w:r>
        <w:rPr>
          <w:rFonts w:cstheme="minorHAnsi"/>
          <w:sz w:val="24"/>
          <w:szCs w:val="24"/>
        </w:rPr>
        <w:t>T</w:t>
      </w:r>
      <w:r w:rsidR="00296BCE">
        <w:rPr>
          <w:rFonts w:cstheme="minorHAnsi"/>
          <w:sz w:val="24"/>
          <w:szCs w:val="24"/>
        </w:rPr>
        <w:t>he</w:t>
      </w:r>
      <w:r w:rsidR="00E02C35" w:rsidRPr="006D35F1">
        <w:rPr>
          <w:rFonts w:cstheme="minorHAnsi"/>
          <w:sz w:val="24"/>
          <w:szCs w:val="24"/>
        </w:rPr>
        <w:t>se two things according to Counsel form</w:t>
      </w:r>
      <w:r w:rsidR="007526AC">
        <w:rPr>
          <w:rFonts w:cstheme="minorHAnsi"/>
          <w:sz w:val="24"/>
          <w:szCs w:val="24"/>
        </w:rPr>
        <w:t>ed</w:t>
      </w:r>
      <w:r w:rsidR="00E02C35" w:rsidRPr="006D35F1">
        <w:rPr>
          <w:rFonts w:cstheme="minorHAnsi"/>
          <w:sz w:val="24"/>
          <w:szCs w:val="24"/>
        </w:rPr>
        <w:t xml:space="preserve"> a reasonable</w:t>
      </w:r>
      <w:r w:rsidR="00296BCE">
        <w:rPr>
          <w:rFonts w:cstheme="minorHAnsi"/>
          <w:sz w:val="24"/>
          <w:szCs w:val="24"/>
        </w:rPr>
        <w:t xml:space="preserve"> basis for investigating Jack’s alleged </w:t>
      </w:r>
      <w:r w:rsidR="00E02C35" w:rsidRPr="006D35F1">
        <w:rPr>
          <w:rFonts w:cstheme="minorHAnsi"/>
          <w:sz w:val="24"/>
          <w:szCs w:val="24"/>
        </w:rPr>
        <w:t xml:space="preserve">association with organized crime.  </w:t>
      </w:r>
    </w:p>
    <w:p w:rsidR="00296BCE" w:rsidRDefault="00296BCE" w:rsidP="00C94ECF">
      <w:pPr>
        <w:ind w:left="720"/>
        <w:rPr>
          <w:rFonts w:cstheme="minorHAnsi"/>
          <w:sz w:val="24"/>
          <w:szCs w:val="24"/>
        </w:rPr>
      </w:pPr>
      <w:r>
        <w:rPr>
          <w:rFonts w:cstheme="minorHAnsi"/>
          <w:sz w:val="24"/>
          <w:szCs w:val="24"/>
        </w:rPr>
        <w:t>With all due re</w:t>
      </w:r>
      <w:r w:rsidR="006755AF">
        <w:rPr>
          <w:rFonts w:cstheme="minorHAnsi"/>
          <w:sz w:val="24"/>
          <w:szCs w:val="24"/>
        </w:rPr>
        <w:t xml:space="preserve">spect to Counsel’s arguments this </w:t>
      </w:r>
      <w:r>
        <w:rPr>
          <w:rFonts w:cstheme="minorHAnsi"/>
          <w:sz w:val="24"/>
          <w:szCs w:val="24"/>
        </w:rPr>
        <w:t>sounds more like a witch hunt.</w:t>
      </w:r>
    </w:p>
    <w:p w:rsidR="00296BCE" w:rsidRDefault="00C373AC" w:rsidP="00C94ECF">
      <w:pPr>
        <w:pStyle w:val="ListParagraph"/>
        <w:numPr>
          <w:ilvl w:val="0"/>
          <w:numId w:val="2"/>
        </w:numPr>
        <w:ind w:hanging="720"/>
        <w:rPr>
          <w:rFonts w:cstheme="minorHAnsi"/>
          <w:sz w:val="24"/>
          <w:szCs w:val="24"/>
        </w:rPr>
      </w:pPr>
      <w:r>
        <w:rPr>
          <w:rFonts w:cstheme="minorHAnsi"/>
          <w:sz w:val="24"/>
          <w:szCs w:val="24"/>
        </w:rPr>
        <w:t>Second</w:t>
      </w:r>
      <w:r w:rsidR="00296BCE">
        <w:rPr>
          <w:rFonts w:cstheme="minorHAnsi"/>
          <w:sz w:val="24"/>
          <w:szCs w:val="24"/>
        </w:rPr>
        <w:t>, since both Superintendent Hugh Stevenson</w:t>
      </w:r>
      <w:r w:rsidR="00296BCE">
        <w:rPr>
          <w:rStyle w:val="FootnoteReference"/>
          <w:rFonts w:cstheme="minorHAnsi"/>
          <w:sz w:val="24"/>
          <w:szCs w:val="24"/>
        </w:rPr>
        <w:footnoteReference w:id="143"/>
      </w:r>
      <w:r w:rsidR="00296BCE">
        <w:rPr>
          <w:rFonts w:cstheme="minorHAnsi"/>
          <w:sz w:val="24"/>
          <w:szCs w:val="24"/>
        </w:rPr>
        <w:t xml:space="preserve"> and Chief Superintendent Mike Armstrong</w:t>
      </w:r>
      <w:r w:rsidR="00296BCE">
        <w:rPr>
          <w:rStyle w:val="FootnoteReference"/>
          <w:rFonts w:cstheme="minorHAnsi"/>
          <w:sz w:val="24"/>
          <w:szCs w:val="24"/>
        </w:rPr>
        <w:footnoteReference w:id="144"/>
      </w:r>
      <w:r w:rsidR="00296BCE">
        <w:rPr>
          <w:rFonts w:cstheme="minorHAnsi"/>
          <w:sz w:val="24"/>
          <w:szCs w:val="24"/>
        </w:rPr>
        <w:t xml:space="preserve"> were promptly informed about the internal complaint and the PSB investigation, </w:t>
      </w:r>
      <w:r w:rsidR="00A73A0B">
        <w:rPr>
          <w:rFonts w:cstheme="minorHAnsi"/>
          <w:sz w:val="24"/>
          <w:szCs w:val="24"/>
        </w:rPr>
        <w:t xml:space="preserve">and since both were involved in the termination of the </w:t>
      </w:r>
      <w:r w:rsidR="00902709">
        <w:rPr>
          <w:rFonts w:cstheme="minorHAnsi"/>
          <w:sz w:val="24"/>
          <w:szCs w:val="24"/>
        </w:rPr>
        <w:t>Applicant</w:t>
      </w:r>
      <w:r w:rsidR="00713E94">
        <w:rPr>
          <w:rFonts w:cstheme="minorHAnsi"/>
          <w:sz w:val="24"/>
          <w:szCs w:val="24"/>
        </w:rPr>
        <w:t>’s</w:t>
      </w:r>
      <w:r w:rsidR="00A73A0B">
        <w:rPr>
          <w:rFonts w:cstheme="minorHAnsi"/>
          <w:sz w:val="24"/>
          <w:szCs w:val="24"/>
        </w:rPr>
        <w:t xml:space="preserve"> employment</w:t>
      </w:r>
      <w:r w:rsidR="00A73A0B">
        <w:rPr>
          <w:rStyle w:val="FootnoteReference"/>
          <w:rFonts w:cstheme="minorHAnsi"/>
          <w:sz w:val="24"/>
          <w:szCs w:val="24"/>
        </w:rPr>
        <w:footnoteReference w:id="145"/>
      </w:r>
      <w:r w:rsidR="00A73A0B">
        <w:rPr>
          <w:rFonts w:cstheme="minorHAnsi"/>
          <w:sz w:val="24"/>
          <w:szCs w:val="24"/>
        </w:rPr>
        <w:t xml:space="preserve">, </w:t>
      </w:r>
      <w:r w:rsidR="00296BCE">
        <w:rPr>
          <w:rFonts w:cstheme="minorHAnsi"/>
          <w:sz w:val="24"/>
          <w:szCs w:val="24"/>
        </w:rPr>
        <w:t xml:space="preserve">how can Counsel says that there was no evidence that the PSB investigation had an adverse effect on the </w:t>
      </w:r>
      <w:r w:rsidR="00902709">
        <w:rPr>
          <w:rFonts w:cstheme="minorHAnsi"/>
          <w:sz w:val="24"/>
          <w:szCs w:val="24"/>
        </w:rPr>
        <w:t>Applicant</w:t>
      </w:r>
      <w:r w:rsidR="00296BCE">
        <w:rPr>
          <w:rFonts w:cstheme="minorHAnsi"/>
          <w:sz w:val="24"/>
          <w:szCs w:val="24"/>
        </w:rPr>
        <w:t>’s employment?</w:t>
      </w:r>
      <w:r w:rsidR="00A73A0B">
        <w:rPr>
          <w:rFonts w:cstheme="minorHAnsi"/>
          <w:sz w:val="24"/>
          <w:szCs w:val="24"/>
        </w:rPr>
        <w:t xml:space="preserve"> What effect did it have then? A positive one? </w:t>
      </w:r>
    </w:p>
    <w:p w:rsidR="00296BCE" w:rsidRDefault="00296BCE" w:rsidP="00D246E4">
      <w:pPr>
        <w:pStyle w:val="ListParagraph"/>
        <w:spacing w:line="240" w:lineRule="auto"/>
        <w:rPr>
          <w:rFonts w:cstheme="minorHAnsi"/>
          <w:sz w:val="24"/>
          <w:szCs w:val="24"/>
        </w:rPr>
      </w:pPr>
    </w:p>
    <w:p w:rsidR="00211600" w:rsidRPr="00A73A0B" w:rsidRDefault="00C373AC" w:rsidP="00C94ECF">
      <w:pPr>
        <w:pStyle w:val="ListParagraph"/>
        <w:numPr>
          <w:ilvl w:val="0"/>
          <w:numId w:val="2"/>
        </w:numPr>
        <w:ind w:hanging="720"/>
        <w:rPr>
          <w:rFonts w:cstheme="minorHAnsi"/>
          <w:sz w:val="24"/>
          <w:szCs w:val="24"/>
        </w:rPr>
      </w:pPr>
      <w:r w:rsidRPr="00C373AC">
        <w:rPr>
          <w:rFonts w:cstheme="minorHAnsi"/>
          <w:sz w:val="24"/>
          <w:szCs w:val="24"/>
        </w:rPr>
        <w:t>Third,</w:t>
      </w:r>
      <w:r w:rsidRPr="00C373AC">
        <w:rPr>
          <w:rFonts w:cstheme="minorHAnsi"/>
          <w:i/>
          <w:iCs/>
          <w:sz w:val="24"/>
          <w:szCs w:val="24"/>
        </w:rPr>
        <w:t xml:space="preserve"> </w:t>
      </w:r>
      <w:r w:rsidRPr="00A73A0B">
        <w:rPr>
          <w:rFonts w:cstheme="minorHAnsi"/>
          <w:i/>
          <w:iCs/>
          <w:sz w:val="24"/>
          <w:szCs w:val="24"/>
        </w:rPr>
        <w:t>‘You</w:t>
      </w:r>
      <w:r w:rsidR="00995D7A" w:rsidRPr="00A73A0B">
        <w:rPr>
          <w:rFonts w:cstheme="minorHAnsi"/>
          <w:i/>
          <w:iCs/>
          <w:sz w:val="24"/>
          <w:szCs w:val="24"/>
        </w:rPr>
        <w:t xml:space="preserve"> were cleared, everything is good’</w:t>
      </w:r>
      <w:r w:rsidR="00D246E4">
        <w:rPr>
          <w:rStyle w:val="FootnoteReference"/>
          <w:rFonts w:cstheme="minorHAnsi"/>
          <w:i/>
          <w:iCs/>
          <w:sz w:val="24"/>
          <w:szCs w:val="24"/>
        </w:rPr>
        <w:footnoteReference w:id="146"/>
      </w:r>
      <w:r w:rsidR="00500D2F">
        <w:rPr>
          <w:rFonts w:cstheme="minorHAnsi"/>
          <w:sz w:val="24"/>
          <w:szCs w:val="24"/>
        </w:rPr>
        <w:t xml:space="preserve"> is sheer hypocrisy for </w:t>
      </w:r>
      <w:r w:rsidR="00995D7A" w:rsidRPr="0063367A">
        <w:rPr>
          <w:rFonts w:cstheme="minorHAnsi"/>
          <w:sz w:val="24"/>
          <w:szCs w:val="24"/>
        </w:rPr>
        <w:t xml:space="preserve">before </w:t>
      </w:r>
      <w:r w:rsidR="00A73A0B">
        <w:rPr>
          <w:rFonts w:cstheme="minorHAnsi"/>
          <w:sz w:val="24"/>
          <w:szCs w:val="24"/>
        </w:rPr>
        <w:t xml:space="preserve">the </w:t>
      </w:r>
      <w:r w:rsidR="00902709">
        <w:rPr>
          <w:rFonts w:cstheme="minorHAnsi"/>
          <w:sz w:val="24"/>
          <w:szCs w:val="24"/>
        </w:rPr>
        <w:t>Applicant</w:t>
      </w:r>
      <w:r w:rsidR="00995D7A" w:rsidRPr="0063367A">
        <w:rPr>
          <w:rFonts w:cstheme="minorHAnsi"/>
          <w:sz w:val="24"/>
          <w:szCs w:val="24"/>
        </w:rPr>
        <w:t xml:space="preserve"> was cleared</w:t>
      </w:r>
      <w:r w:rsidR="007B5218">
        <w:rPr>
          <w:rFonts w:cstheme="minorHAnsi"/>
          <w:sz w:val="24"/>
          <w:szCs w:val="24"/>
        </w:rPr>
        <w:t xml:space="preserve"> (</w:t>
      </w:r>
      <w:r w:rsidR="00500D2F">
        <w:rPr>
          <w:rFonts w:cstheme="minorHAnsi"/>
          <w:sz w:val="24"/>
          <w:szCs w:val="24"/>
        </w:rPr>
        <w:t>November 19, 2009</w:t>
      </w:r>
      <w:r w:rsidR="007B5218">
        <w:rPr>
          <w:rFonts w:cstheme="minorHAnsi"/>
          <w:sz w:val="24"/>
          <w:szCs w:val="24"/>
        </w:rPr>
        <w:t>)</w:t>
      </w:r>
      <w:r w:rsidR="007B5218">
        <w:rPr>
          <w:rStyle w:val="FootnoteReference"/>
          <w:rFonts w:cstheme="minorHAnsi"/>
          <w:sz w:val="24"/>
          <w:szCs w:val="24"/>
        </w:rPr>
        <w:footnoteReference w:id="147"/>
      </w:r>
      <w:r w:rsidR="00995D7A" w:rsidRPr="0063367A">
        <w:rPr>
          <w:rFonts w:cstheme="minorHAnsi"/>
          <w:sz w:val="24"/>
          <w:szCs w:val="24"/>
        </w:rPr>
        <w:t xml:space="preserve"> the decision to </w:t>
      </w:r>
      <w:r w:rsidR="0057413D">
        <w:rPr>
          <w:rFonts w:cstheme="minorHAnsi"/>
          <w:sz w:val="24"/>
          <w:szCs w:val="24"/>
        </w:rPr>
        <w:t xml:space="preserve">proceed with his termination process </w:t>
      </w:r>
      <w:r w:rsidR="00500D2F">
        <w:rPr>
          <w:rFonts w:cstheme="minorHAnsi"/>
          <w:sz w:val="24"/>
          <w:szCs w:val="24"/>
        </w:rPr>
        <w:t>had already been made (November 12, 2009).</w:t>
      </w:r>
      <w:r w:rsidR="007B5218">
        <w:rPr>
          <w:rStyle w:val="FootnoteReference"/>
          <w:rFonts w:cstheme="minorHAnsi"/>
          <w:sz w:val="24"/>
          <w:szCs w:val="24"/>
        </w:rPr>
        <w:footnoteReference w:id="148"/>
      </w:r>
      <w:r w:rsidR="00995D7A" w:rsidRPr="0063367A">
        <w:rPr>
          <w:rFonts w:cstheme="minorHAnsi"/>
          <w:sz w:val="24"/>
          <w:szCs w:val="24"/>
        </w:rPr>
        <w:t xml:space="preserve"> How can one possib</w:t>
      </w:r>
      <w:r w:rsidR="00A73A0B">
        <w:rPr>
          <w:rFonts w:cstheme="minorHAnsi"/>
          <w:sz w:val="24"/>
          <w:szCs w:val="24"/>
        </w:rPr>
        <w:t>ly state ‘</w:t>
      </w:r>
      <w:r w:rsidR="00A73A0B" w:rsidRPr="00C373AC">
        <w:rPr>
          <w:rFonts w:cstheme="minorHAnsi"/>
          <w:i/>
          <w:iCs/>
          <w:sz w:val="24"/>
          <w:szCs w:val="24"/>
        </w:rPr>
        <w:t>everything is good’</w:t>
      </w:r>
      <w:r w:rsidR="00A73A0B">
        <w:rPr>
          <w:rFonts w:cstheme="minorHAnsi"/>
          <w:sz w:val="24"/>
          <w:szCs w:val="24"/>
        </w:rPr>
        <w:t xml:space="preserve">? </w:t>
      </w:r>
    </w:p>
    <w:p w:rsidR="00C373AC" w:rsidRDefault="00C373AC" w:rsidP="00D246E4">
      <w:pPr>
        <w:pStyle w:val="ListParagraph"/>
        <w:spacing w:line="240" w:lineRule="auto"/>
        <w:rPr>
          <w:rFonts w:cstheme="minorHAnsi"/>
          <w:sz w:val="24"/>
          <w:szCs w:val="24"/>
        </w:rPr>
      </w:pPr>
    </w:p>
    <w:p w:rsidR="00211600" w:rsidRDefault="00B77F04" w:rsidP="00C94ECF">
      <w:pPr>
        <w:pStyle w:val="ListParagraph"/>
        <w:numPr>
          <w:ilvl w:val="0"/>
          <w:numId w:val="2"/>
        </w:numPr>
        <w:ind w:hanging="720"/>
        <w:rPr>
          <w:rFonts w:cstheme="minorHAnsi"/>
          <w:sz w:val="24"/>
          <w:szCs w:val="24"/>
        </w:rPr>
      </w:pPr>
      <w:r>
        <w:rPr>
          <w:rFonts w:cstheme="minorHAnsi"/>
          <w:sz w:val="24"/>
          <w:szCs w:val="24"/>
        </w:rPr>
        <w:t xml:space="preserve">Campbell’s comments in his portion of the PFC on September 3, 2009 and </w:t>
      </w:r>
      <w:proofErr w:type="spellStart"/>
      <w:r>
        <w:rPr>
          <w:rFonts w:cstheme="minorHAnsi"/>
          <w:sz w:val="24"/>
          <w:szCs w:val="24"/>
        </w:rPr>
        <w:t>Nie’s</w:t>
      </w:r>
      <w:proofErr w:type="spellEnd"/>
      <w:r>
        <w:rPr>
          <w:rFonts w:cstheme="minorHAnsi"/>
          <w:sz w:val="24"/>
          <w:szCs w:val="24"/>
        </w:rPr>
        <w:t xml:space="preserve"> comments </w:t>
      </w:r>
      <w:r w:rsidR="00100A1C">
        <w:rPr>
          <w:rFonts w:cstheme="minorHAnsi"/>
          <w:sz w:val="24"/>
          <w:szCs w:val="24"/>
        </w:rPr>
        <w:t>o</w:t>
      </w:r>
      <w:r w:rsidR="00A73A0B">
        <w:rPr>
          <w:rFonts w:cstheme="minorHAnsi"/>
          <w:sz w:val="24"/>
          <w:szCs w:val="24"/>
        </w:rPr>
        <w:t>n</w:t>
      </w:r>
      <w:r w:rsidR="00100A1C">
        <w:rPr>
          <w:rFonts w:cstheme="minorHAnsi"/>
          <w:sz w:val="24"/>
          <w:szCs w:val="24"/>
        </w:rPr>
        <w:t xml:space="preserve"> September 23, 2009 </w:t>
      </w:r>
      <w:r>
        <w:rPr>
          <w:rFonts w:cstheme="minorHAnsi"/>
          <w:sz w:val="24"/>
          <w:szCs w:val="24"/>
        </w:rPr>
        <w:t xml:space="preserve">regarding what Jack told him about the </w:t>
      </w:r>
      <w:r w:rsidR="00643C19">
        <w:rPr>
          <w:rFonts w:cstheme="minorHAnsi"/>
          <w:sz w:val="24"/>
          <w:szCs w:val="24"/>
        </w:rPr>
        <w:t xml:space="preserve">internal complaint </w:t>
      </w:r>
      <w:r w:rsidR="00100A1C">
        <w:rPr>
          <w:rFonts w:cstheme="minorHAnsi"/>
          <w:sz w:val="24"/>
          <w:szCs w:val="24"/>
        </w:rPr>
        <w:t xml:space="preserve">were </w:t>
      </w:r>
      <w:r w:rsidR="00643C19">
        <w:rPr>
          <w:rFonts w:cstheme="minorHAnsi"/>
          <w:sz w:val="24"/>
          <w:szCs w:val="24"/>
        </w:rPr>
        <w:t xml:space="preserve">never </w:t>
      </w:r>
      <w:r w:rsidR="00100A1C">
        <w:rPr>
          <w:rFonts w:cstheme="minorHAnsi"/>
          <w:sz w:val="24"/>
          <w:szCs w:val="24"/>
        </w:rPr>
        <w:t xml:space="preserve">removed from the PFC that was forwarded to </w:t>
      </w:r>
      <w:r w:rsidR="005F6EBE">
        <w:rPr>
          <w:rFonts w:cstheme="minorHAnsi"/>
          <w:sz w:val="24"/>
          <w:szCs w:val="24"/>
        </w:rPr>
        <w:t>Kohen</w:t>
      </w:r>
      <w:r w:rsidR="00643C19">
        <w:rPr>
          <w:rStyle w:val="FootnoteReference"/>
          <w:rFonts w:cstheme="minorHAnsi"/>
          <w:sz w:val="24"/>
          <w:szCs w:val="24"/>
        </w:rPr>
        <w:footnoteReference w:id="149"/>
      </w:r>
      <w:r w:rsidR="00643C19">
        <w:rPr>
          <w:rFonts w:cstheme="minorHAnsi"/>
          <w:sz w:val="24"/>
          <w:szCs w:val="24"/>
        </w:rPr>
        <w:t xml:space="preserve">. Kohen used PERs and PFC to make her recommendation to Armstrong in the form of </w:t>
      </w:r>
      <w:r w:rsidR="00643C19" w:rsidRPr="00C16494">
        <w:rPr>
          <w:rFonts w:cstheme="minorHAnsi"/>
          <w:sz w:val="24"/>
          <w:szCs w:val="24"/>
        </w:rPr>
        <w:t>Internal Briefing Report</w:t>
      </w:r>
      <w:r w:rsidR="00643C19">
        <w:rPr>
          <w:rStyle w:val="FootnoteReference"/>
          <w:rFonts w:cstheme="minorHAnsi"/>
          <w:sz w:val="24"/>
          <w:szCs w:val="24"/>
        </w:rPr>
        <w:footnoteReference w:id="150"/>
      </w:r>
      <w:r w:rsidR="00643C19">
        <w:rPr>
          <w:rFonts w:cstheme="minorHAnsi"/>
          <w:sz w:val="24"/>
          <w:szCs w:val="24"/>
        </w:rPr>
        <w:t xml:space="preserve"> to release from employment </w:t>
      </w:r>
      <w:r w:rsidR="00643C19" w:rsidRPr="00C16494">
        <w:rPr>
          <w:rFonts w:cstheme="minorHAnsi"/>
          <w:sz w:val="24"/>
          <w:szCs w:val="24"/>
        </w:rPr>
        <w:t>Probationary Constable Michael Jack</w:t>
      </w:r>
      <w:r w:rsidR="00643C19">
        <w:rPr>
          <w:rFonts w:cstheme="minorHAnsi"/>
          <w:sz w:val="24"/>
          <w:szCs w:val="24"/>
        </w:rPr>
        <w:t xml:space="preserve"> </w:t>
      </w:r>
      <w:r w:rsidR="005F6EBE">
        <w:rPr>
          <w:rFonts w:cstheme="minorHAnsi"/>
          <w:sz w:val="24"/>
          <w:szCs w:val="24"/>
        </w:rPr>
        <w:t>based on</w:t>
      </w:r>
      <w:r w:rsidR="00100A1C">
        <w:rPr>
          <w:rFonts w:cstheme="minorHAnsi"/>
          <w:sz w:val="24"/>
          <w:szCs w:val="24"/>
        </w:rPr>
        <w:t xml:space="preserve"> Jack’s failure to meet the requirements of the Performance and Conduct Guidelines of a Probationary Constable</w:t>
      </w:r>
      <w:r w:rsidR="00643C19">
        <w:rPr>
          <w:rFonts w:cstheme="minorHAnsi"/>
          <w:sz w:val="24"/>
          <w:szCs w:val="24"/>
        </w:rPr>
        <w:t>.</w:t>
      </w:r>
    </w:p>
    <w:p w:rsidR="00100A1C" w:rsidRPr="00100A1C" w:rsidRDefault="00100A1C" w:rsidP="00D246E4">
      <w:pPr>
        <w:pStyle w:val="ListParagraph"/>
        <w:spacing w:line="240" w:lineRule="auto"/>
        <w:rPr>
          <w:rFonts w:cstheme="minorHAnsi"/>
          <w:sz w:val="24"/>
          <w:szCs w:val="24"/>
        </w:rPr>
      </w:pPr>
    </w:p>
    <w:p w:rsidR="00100A1C" w:rsidRPr="00192B7A" w:rsidRDefault="00100A1C" w:rsidP="00C94ECF">
      <w:pPr>
        <w:pStyle w:val="ListParagraph"/>
        <w:numPr>
          <w:ilvl w:val="0"/>
          <w:numId w:val="2"/>
        </w:numPr>
        <w:ind w:hanging="720"/>
        <w:rPr>
          <w:rFonts w:cstheme="minorHAnsi"/>
          <w:sz w:val="24"/>
          <w:szCs w:val="24"/>
        </w:rPr>
      </w:pPr>
      <w:r w:rsidRPr="00192B7A">
        <w:rPr>
          <w:rFonts w:cstheme="minorHAnsi"/>
          <w:sz w:val="24"/>
          <w:szCs w:val="24"/>
        </w:rPr>
        <w:lastRenderedPageBreak/>
        <w:t xml:space="preserve">As pointed out </w:t>
      </w:r>
      <w:r w:rsidR="00643C19" w:rsidRPr="00192B7A">
        <w:rPr>
          <w:rFonts w:cstheme="minorHAnsi"/>
          <w:sz w:val="24"/>
          <w:szCs w:val="24"/>
        </w:rPr>
        <w:t xml:space="preserve">earlier </w:t>
      </w:r>
      <w:r w:rsidRPr="00192B7A">
        <w:rPr>
          <w:rFonts w:cstheme="minorHAnsi"/>
          <w:sz w:val="24"/>
          <w:szCs w:val="24"/>
        </w:rPr>
        <w:t xml:space="preserve">the actual decision to terminate was made </w:t>
      </w:r>
      <w:r w:rsidR="00643C19" w:rsidRPr="00192B7A">
        <w:rPr>
          <w:rFonts w:cstheme="minorHAnsi"/>
          <w:sz w:val="24"/>
          <w:szCs w:val="24"/>
        </w:rPr>
        <w:t>on November 12, 2009,</w:t>
      </w:r>
      <w:r w:rsidR="00643C19" w:rsidRPr="00192B7A">
        <w:rPr>
          <w:rStyle w:val="FootnoteReference"/>
          <w:rFonts w:cstheme="minorHAnsi"/>
          <w:sz w:val="24"/>
          <w:szCs w:val="24"/>
        </w:rPr>
        <w:footnoteReference w:id="151"/>
      </w:r>
      <w:r w:rsidR="00643C19" w:rsidRPr="00192B7A">
        <w:rPr>
          <w:rFonts w:cstheme="minorHAnsi"/>
          <w:sz w:val="24"/>
          <w:szCs w:val="24"/>
        </w:rPr>
        <w:t xml:space="preserve"> </w:t>
      </w:r>
      <w:r w:rsidRPr="00192B7A">
        <w:rPr>
          <w:rFonts w:cstheme="minorHAnsi"/>
          <w:sz w:val="24"/>
          <w:szCs w:val="24"/>
        </w:rPr>
        <w:t xml:space="preserve">much earlier than </w:t>
      </w:r>
      <w:r w:rsidR="00643C19" w:rsidRPr="00192B7A">
        <w:rPr>
          <w:rFonts w:cstheme="minorHAnsi"/>
          <w:sz w:val="24"/>
          <w:szCs w:val="24"/>
        </w:rPr>
        <w:t xml:space="preserve">the actual termination date, </w:t>
      </w:r>
      <w:r w:rsidRPr="00192B7A">
        <w:rPr>
          <w:rFonts w:cstheme="minorHAnsi"/>
          <w:sz w:val="24"/>
          <w:szCs w:val="24"/>
        </w:rPr>
        <w:t>December 15, 2009. Mr. Armstrong was only used to facilitate that decision.</w:t>
      </w:r>
      <w:r w:rsidR="00A9227B" w:rsidRPr="00192B7A">
        <w:rPr>
          <w:rStyle w:val="FootnoteReference"/>
          <w:rFonts w:cstheme="minorHAnsi"/>
          <w:sz w:val="24"/>
          <w:szCs w:val="24"/>
        </w:rPr>
        <w:footnoteReference w:id="152"/>
      </w:r>
    </w:p>
    <w:p w:rsidR="00100A1C" w:rsidRPr="00100A1C" w:rsidRDefault="00100A1C" w:rsidP="00D246E4">
      <w:pPr>
        <w:pStyle w:val="ListParagraph"/>
        <w:spacing w:line="240" w:lineRule="auto"/>
        <w:rPr>
          <w:rFonts w:cstheme="minorHAnsi"/>
          <w:sz w:val="24"/>
          <w:szCs w:val="24"/>
        </w:rPr>
      </w:pPr>
    </w:p>
    <w:p w:rsidR="00A9227B" w:rsidRDefault="00A9227B" w:rsidP="00C94ECF">
      <w:pPr>
        <w:pStyle w:val="ListParagraph"/>
        <w:numPr>
          <w:ilvl w:val="0"/>
          <w:numId w:val="2"/>
        </w:numPr>
        <w:ind w:hanging="720"/>
        <w:rPr>
          <w:rFonts w:cstheme="minorHAnsi"/>
          <w:sz w:val="24"/>
          <w:szCs w:val="24"/>
        </w:rPr>
      </w:pPr>
      <w:r>
        <w:rPr>
          <w:rFonts w:cstheme="minorHAnsi"/>
          <w:sz w:val="24"/>
          <w:szCs w:val="24"/>
        </w:rPr>
        <w:t xml:space="preserve">The failure to remove those comments from the PFC and its influence is more accurately reflected by Johnston’s opinion of the final disposition of that investigation regardless of what it said. He felt it important to add this bit of information after the line of questioning was cleared and an exhibit was being entered regarding the line of questioning. </w:t>
      </w:r>
    </w:p>
    <w:p w:rsidR="00A9227B" w:rsidRPr="00A9227B" w:rsidRDefault="00A9227B" w:rsidP="00C94ECF">
      <w:pPr>
        <w:pStyle w:val="ListParagraph"/>
        <w:rPr>
          <w:rFonts w:cstheme="minorHAnsi"/>
          <w:sz w:val="24"/>
          <w:szCs w:val="24"/>
        </w:rPr>
      </w:pPr>
    </w:p>
    <w:p w:rsidR="00A9227B" w:rsidRPr="008D7409" w:rsidRDefault="00A9227B" w:rsidP="00C94ECF">
      <w:pPr>
        <w:pStyle w:val="ListParagraph"/>
        <w:rPr>
          <w:rFonts w:cstheme="minorHAnsi"/>
          <w:i/>
          <w:sz w:val="24"/>
          <w:szCs w:val="24"/>
        </w:rPr>
      </w:pPr>
      <w:r>
        <w:rPr>
          <w:rFonts w:cstheme="minorHAnsi"/>
          <w:sz w:val="24"/>
          <w:szCs w:val="24"/>
        </w:rPr>
        <w:t xml:space="preserve"> </w:t>
      </w:r>
      <w:r w:rsidR="0063367A">
        <w:rPr>
          <w:rFonts w:cstheme="minorHAnsi"/>
          <w:sz w:val="24"/>
          <w:szCs w:val="24"/>
        </w:rPr>
        <w:t xml:space="preserve">  </w:t>
      </w:r>
      <w:r>
        <w:rPr>
          <w:rFonts w:cstheme="minorHAnsi"/>
          <w:sz w:val="24"/>
          <w:szCs w:val="24"/>
        </w:rPr>
        <w:tab/>
      </w:r>
      <w:r w:rsidRPr="008D7409">
        <w:rPr>
          <w:rFonts w:cstheme="minorHAnsi"/>
          <w:i/>
          <w:sz w:val="24"/>
          <w:szCs w:val="24"/>
        </w:rPr>
        <w:t>THE WITNESS:     Let me...if I could just add a comment here.</w:t>
      </w:r>
    </w:p>
    <w:p w:rsidR="00A9227B" w:rsidRPr="008D7409" w:rsidRDefault="00A9227B" w:rsidP="00C94ECF">
      <w:pPr>
        <w:pStyle w:val="ListParagraph"/>
        <w:rPr>
          <w:rFonts w:cstheme="minorHAnsi"/>
          <w:i/>
          <w:sz w:val="24"/>
          <w:szCs w:val="24"/>
        </w:rPr>
      </w:pPr>
      <w:r w:rsidRPr="008D7409">
        <w:rPr>
          <w:rFonts w:cstheme="minorHAnsi"/>
          <w:i/>
          <w:sz w:val="24"/>
          <w:szCs w:val="24"/>
        </w:rPr>
        <w:t xml:space="preserve">   </w:t>
      </w:r>
      <w:r w:rsidRPr="008D7409">
        <w:rPr>
          <w:rFonts w:cstheme="minorHAnsi"/>
          <w:i/>
          <w:sz w:val="24"/>
          <w:szCs w:val="24"/>
        </w:rPr>
        <w:tab/>
        <w:t>BY MR. JACK:</w:t>
      </w:r>
    </w:p>
    <w:p w:rsidR="00A9227B" w:rsidRPr="008D7409" w:rsidRDefault="00A9227B" w:rsidP="00C94ECF">
      <w:pPr>
        <w:pStyle w:val="ListParagraph"/>
        <w:rPr>
          <w:rFonts w:cstheme="minorHAnsi"/>
          <w:i/>
          <w:sz w:val="24"/>
          <w:szCs w:val="24"/>
        </w:rPr>
      </w:pPr>
      <w:r w:rsidRPr="008D7409">
        <w:rPr>
          <w:rFonts w:cstheme="minorHAnsi"/>
          <w:i/>
          <w:sz w:val="24"/>
          <w:szCs w:val="24"/>
        </w:rPr>
        <w:t xml:space="preserve">   </w:t>
      </w:r>
      <w:r w:rsidRPr="008D7409">
        <w:rPr>
          <w:rFonts w:cstheme="minorHAnsi"/>
          <w:i/>
          <w:sz w:val="24"/>
          <w:szCs w:val="24"/>
        </w:rPr>
        <w:tab/>
        <w:t>Q.     Please.</w:t>
      </w:r>
    </w:p>
    <w:p w:rsidR="00A9227B" w:rsidRPr="008D7409" w:rsidRDefault="00A9227B" w:rsidP="00C94ECF">
      <w:pPr>
        <w:pStyle w:val="ListParagraph"/>
        <w:ind w:left="1440"/>
        <w:rPr>
          <w:rFonts w:cstheme="minorHAnsi"/>
          <w:i/>
          <w:sz w:val="24"/>
          <w:szCs w:val="24"/>
        </w:rPr>
      </w:pPr>
      <w:r w:rsidRPr="008D7409">
        <w:rPr>
          <w:rFonts w:cstheme="minorHAnsi"/>
          <w:i/>
          <w:sz w:val="24"/>
          <w:szCs w:val="24"/>
        </w:rPr>
        <w:t xml:space="preserve">A.     You said you were cleared.  Like, I am just referring to the information that you received from the memorandum.  It says: </w:t>
      </w:r>
    </w:p>
    <w:p w:rsidR="00A9227B" w:rsidRPr="008D7409" w:rsidRDefault="00A9227B" w:rsidP="002A35AE">
      <w:pPr>
        <w:pStyle w:val="ListParagraph"/>
        <w:ind w:left="2160"/>
        <w:rPr>
          <w:rFonts w:cstheme="minorHAnsi"/>
          <w:i/>
          <w:sz w:val="24"/>
          <w:szCs w:val="24"/>
        </w:rPr>
      </w:pPr>
      <w:r w:rsidRPr="008D7409">
        <w:rPr>
          <w:rFonts w:cstheme="minorHAnsi"/>
          <w:i/>
          <w:sz w:val="24"/>
          <w:szCs w:val="24"/>
        </w:rPr>
        <w:t>"...I reviewed the report and agree with its findings that the complaint is</w:t>
      </w:r>
      <w:r w:rsidR="00DB3BD5" w:rsidRPr="008D7409">
        <w:rPr>
          <w:rFonts w:cstheme="minorHAnsi"/>
          <w:i/>
          <w:sz w:val="24"/>
          <w:szCs w:val="24"/>
        </w:rPr>
        <w:t xml:space="preserve"> un</w:t>
      </w:r>
      <w:r w:rsidR="002A35AE">
        <w:rPr>
          <w:rFonts w:cstheme="minorHAnsi"/>
          <w:i/>
          <w:sz w:val="24"/>
          <w:szCs w:val="24"/>
        </w:rPr>
        <w:t>substantiated</w:t>
      </w:r>
      <w:r w:rsidRPr="008D7409">
        <w:rPr>
          <w:rFonts w:cstheme="minorHAnsi"/>
          <w:i/>
          <w:sz w:val="24"/>
          <w:szCs w:val="24"/>
        </w:rPr>
        <w:t>..."</w:t>
      </w:r>
    </w:p>
    <w:p w:rsidR="00DB3BD5" w:rsidRPr="008D7409" w:rsidRDefault="00A9227B" w:rsidP="00C94ECF">
      <w:pPr>
        <w:pStyle w:val="ListParagraph"/>
        <w:ind w:left="1440"/>
        <w:rPr>
          <w:rFonts w:cstheme="minorHAnsi"/>
          <w:i/>
          <w:sz w:val="24"/>
          <w:szCs w:val="24"/>
        </w:rPr>
      </w:pPr>
      <w:r w:rsidRPr="008D7409">
        <w:rPr>
          <w:rFonts w:cstheme="minorHAnsi"/>
          <w:i/>
          <w:sz w:val="24"/>
          <w:szCs w:val="24"/>
        </w:rPr>
        <w:t>It doesn't say you were cleared.  It says it was</w:t>
      </w:r>
      <w:r w:rsidR="00DB3BD5" w:rsidRPr="008D7409">
        <w:rPr>
          <w:rFonts w:cstheme="minorHAnsi"/>
          <w:i/>
          <w:sz w:val="24"/>
          <w:szCs w:val="24"/>
        </w:rPr>
        <w:t xml:space="preserve"> </w:t>
      </w:r>
      <w:r w:rsidRPr="008D7409">
        <w:rPr>
          <w:rFonts w:cstheme="minorHAnsi"/>
          <w:i/>
          <w:sz w:val="24"/>
          <w:szCs w:val="24"/>
        </w:rPr>
        <w:t>unsubstantiated.  I don't know if they are both the</w:t>
      </w:r>
      <w:r w:rsidR="00DB3BD5" w:rsidRPr="008D7409">
        <w:rPr>
          <w:rFonts w:cstheme="minorHAnsi"/>
          <w:i/>
          <w:sz w:val="24"/>
          <w:szCs w:val="24"/>
        </w:rPr>
        <w:t xml:space="preserve"> same or...</w:t>
      </w:r>
    </w:p>
    <w:p w:rsidR="00A9227B" w:rsidRPr="008D7409" w:rsidRDefault="00A9227B" w:rsidP="00C94ECF">
      <w:pPr>
        <w:pStyle w:val="ListParagraph"/>
        <w:ind w:left="1440"/>
        <w:rPr>
          <w:rFonts w:cstheme="minorHAnsi"/>
          <w:i/>
          <w:sz w:val="24"/>
          <w:szCs w:val="24"/>
        </w:rPr>
      </w:pPr>
      <w:r w:rsidRPr="008D7409">
        <w:rPr>
          <w:rFonts w:cstheme="minorHAnsi"/>
          <w:i/>
          <w:sz w:val="24"/>
          <w:szCs w:val="24"/>
        </w:rPr>
        <w:t>Q.     Well, okay.</w:t>
      </w:r>
      <w:r w:rsidR="00DB3BD5" w:rsidRPr="008D7409">
        <w:rPr>
          <w:rStyle w:val="FootnoteReference"/>
          <w:rFonts w:cstheme="minorHAnsi"/>
          <w:i/>
          <w:sz w:val="24"/>
          <w:szCs w:val="24"/>
        </w:rPr>
        <w:footnoteReference w:id="153"/>
      </w:r>
    </w:p>
    <w:p w:rsidR="0063367A" w:rsidRDefault="0063367A" w:rsidP="00D246E4">
      <w:pPr>
        <w:pStyle w:val="ListParagraph"/>
        <w:spacing w:line="240" w:lineRule="auto"/>
        <w:rPr>
          <w:rFonts w:cstheme="minorHAnsi"/>
          <w:sz w:val="24"/>
          <w:szCs w:val="24"/>
        </w:rPr>
      </w:pPr>
    </w:p>
    <w:p w:rsidR="00A5034C" w:rsidRDefault="00DB3BD5" w:rsidP="00C94ECF">
      <w:pPr>
        <w:pStyle w:val="ListParagraph"/>
        <w:numPr>
          <w:ilvl w:val="0"/>
          <w:numId w:val="2"/>
        </w:numPr>
        <w:ind w:hanging="720"/>
        <w:rPr>
          <w:rFonts w:cstheme="minorHAnsi"/>
          <w:sz w:val="24"/>
          <w:szCs w:val="24"/>
        </w:rPr>
      </w:pPr>
      <w:r>
        <w:rPr>
          <w:rFonts w:cstheme="minorHAnsi"/>
          <w:sz w:val="24"/>
          <w:szCs w:val="24"/>
        </w:rPr>
        <w:t xml:space="preserve">It would appear that in Johnston’s mind that ‘unsubstantiated’ only means that there wasn’t enough evidence and hence the </w:t>
      </w:r>
      <w:r w:rsidR="00902709">
        <w:rPr>
          <w:rFonts w:cstheme="minorHAnsi"/>
          <w:sz w:val="24"/>
          <w:szCs w:val="24"/>
        </w:rPr>
        <w:t>Applicant</w:t>
      </w:r>
      <w:r>
        <w:rPr>
          <w:rFonts w:cstheme="minorHAnsi"/>
          <w:sz w:val="24"/>
          <w:szCs w:val="24"/>
        </w:rPr>
        <w:t xml:space="preserve"> could very well still be associating with the so called ‘</w:t>
      </w:r>
      <w:r w:rsidR="001429F2">
        <w:rPr>
          <w:rFonts w:cstheme="minorHAnsi"/>
          <w:sz w:val="24"/>
          <w:szCs w:val="24"/>
        </w:rPr>
        <w:t>Undesirables</w:t>
      </w:r>
      <w:r>
        <w:rPr>
          <w:rFonts w:cstheme="minorHAnsi"/>
          <w:sz w:val="24"/>
          <w:szCs w:val="24"/>
        </w:rPr>
        <w:t xml:space="preserve">’. That would explain his continued apprehension </w:t>
      </w:r>
      <w:r w:rsidR="006C3DB3">
        <w:rPr>
          <w:rFonts w:cstheme="minorHAnsi"/>
          <w:sz w:val="24"/>
          <w:szCs w:val="24"/>
        </w:rPr>
        <w:t xml:space="preserve">or concerns </w:t>
      </w:r>
      <w:r>
        <w:rPr>
          <w:rFonts w:cstheme="minorHAnsi"/>
          <w:sz w:val="24"/>
          <w:szCs w:val="24"/>
        </w:rPr>
        <w:t xml:space="preserve">after the </w:t>
      </w:r>
      <w:r w:rsidR="00902709">
        <w:rPr>
          <w:rFonts w:cstheme="minorHAnsi"/>
          <w:sz w:val="24"/>
          <w:szCs w:val="24"/>
        </w:rPr>
        <w:t>Applicant</w:t>
      </w:r>
      <w:r>
        <w:rPr>
          <w:rFonts w:cstheme="minorHAnsi"/>
          <w:sz w:val="24"/>
          <w:szCs w:val="24"/>
        </w:rPr>
        <w:t xml:space="preserve"> was cleared by PSB.</w:t>
      </w:r>
      <w:r>
        <w:rPr>
          <w:rStyle w:val="FootnoteReference"/>
          <w:rFonts w:cstheme="minorHAnsi"/>
          <w:sz w:val="24"/>
          <w:szCs w:val="24"/>
        </w:rPr>
        <w:footnoteReference w:id="154"/>
      </w:r>
      <w:r>
        <w:rPr>
          <w:rFonts w:cstheme="minorHAnsi"/>
          <w:sz w:val="24"/>
          <w:szCs w:val="24"/>
        </w:rPr>
        <w:t xml:space="preserve"> </w:t>
      </w:r>
    </w:p>
    <w:p w:rsidR="00A5034C" w:rsidRDefault="00A5034C" w:rsidP="00D246E4">
      <w:pPr>
        <w:pStyle w:val="ListParagraph"/>
        <w:spacing w:line="240" w:lineRule="auto"/>
        <w:rPr>
          <w:rFonts w:cstheme="minorHAnsi"/>
          <w:sz w:val="24"/>
          <w:szCs w:val="24"/>
        </w:rPr>
      </w:pPr>
    </w:p>
    <w:p w:rsidR="002A35AE" w:rsidRDefault="00DB3BD5" w:rsidP="00D246E4">
      <w:pPr>
        <w:pStyle w:val="ListParagraph"/>
        <w:numPr>
          <w:ilvl w:val="0"/>
          <w:numId w:val="2"/>
        </w:numPr>
        <w:ind w:hanging="720"/>
        <w:rPr>
          <w:rFonts w:cstheme="minorHAnsi"/>
          <w:sz w:val="24"/>
          <w:szCs w:val="24"/>
        </w:rPr>
      </w:pPr>
      <w:r>
        <w:rPr>
          <w:rFonts w:cstheme="minorHAnsi"/>
          <w:sz w:val="24"/>
          <w:szCs w:val="24"/>
        </w:rPr>
        <w:t>Hence</w:t>
      </w:r>
      <w:r w:rsidR="002A35AE">
        <w:rPr>
          <w:rFonts w:cstheme="minorHAnsi"/>
          <w:sz w:val="24"/>
          <w:szCs w:val="24"/>
        </w:rPr>
        <w:t>,</w:t>
      </w:r>
      <w:r>
        <w:rPr>
          <w:rFonts w:cstheme="minorHAnsi"/>
          <w:sz w:val="24"/>
          <w:szCs w:val="24"/>
        </w:rPr>
        <w:t xml:space="preserve"> why should the PSB investigation</w:t>
      </w:r>
      <w:r w:rsidR="00A5034C">
        <w:rPr>
          <w:rFonts w:cstheme="minorHAnsi"/>
          <w:sz w:val="24"/>
          <w:szCs w:val="24"/>
        </w:rPr>
        <w:t>,</w:t>
      </w:r>
      <w:r>
        <w:rPr>
          <w:rFonts w:cstheme="minorHAnsi"/>
          <w:sz w:val="24"/>
          <w:szCs w:val="24"/>
        </w:rPr>
        <w:t xml:space="preserve"> regardless of its disposition</w:t>
      </w:r>
      <w:r w:rsidR="00A5034C">
        <w:rPr>
          <w:rFonts w:cstheme="minorHAnsi"/>
          <w:sz w:val="24"/>
          <w:szCs w:val="24"/>
        </w:rPr>
        <w:t>,</w:t>
      </w:r>
      <w:r>
        <w:rPr>
          <w:rFonts w:cstheme="minorHAnsi"/>
          <w:sz w:val="24"/>
          <w:szCs w:val="24"/>
        </w:rPr>
        <w:t xml:space="preserve"> not have an adverse effect on the decision to terminate </w:t>
      </w:r>
      <w:r w:rsidR="00D246E4">
        <w:rPr>
          <w:rFonts w:cstheme="minorHAnsi"/>
          <w:sz w:val="24"/>
          <w:szCs w:val="24"/>
        </w:rPr>
        <w:t>the Applicant’s</w:t>
      </w:r>
      <w:r>
        <w:rPr>
          <w:rFonts w:cstheme="minorHAnsi"/>
          <w:sz w:val="24"/>
          <w:szCs w:val="24"/>
        </w:rPr>
        <w:t xml:space="preserve"> employment?</w:t>
      </w:r>
      <w:r w:rsidR="00A5034C">
        <w:rPr>
          <w:rFonts w:cstheme="minorHAnsi"/>
          <w:sz w:val="24"/>
          <w:szCs w:val="24"/>
        </w:rPr>
        <w:t xml:space="preserve"> Any reasonable person would conclude that if it had an effect on a ranking officer why would it not have a similar effect on another ranking officer?</w:t>
      </w:r>
    </w:p>
    <w:p w:rsidR="002A35AE" w:rsidRPr="002A35AE" w:rsidRDefault="002A35AE" w:rsidP="00D246E4">
      <w:pPr>
        <w:pStyle w:val="ListParagraph"/>
        <w:spacing w:line="240" w:lineRule="auto"/>
        <w:rPr>
          <w:rFonts w:cstheme="minorHAnsi"/>
          <w:sz w:val="24"/>
          <w:szCs w:val="24"/>
        </w:rPr>
      </w:pPr>
    </w:p>
    <w:p w:rsidR="001D44E4" w:rsidRPr="002A35AE" w:rsidRDefault="002A35AE" w:rsidP="008A741B">
      <w:pPr>
        <w:pStyle w:val="ListParagraph"/>
        <w:numPr>
          <w:ilvl w:val="0"/>
          <w:numId w:val="2"/>
        </w:numPr>
        <w:ind w:hanging="720"/>
        <w:rPr>
          <w:rFonts w:cstheme="minorHAnsi"/>
          <w:sz w:val="24"/>
          <w:szCs w:val="24"/>
        </w:rPr>
      </w:pPr>
      <w:r w:rsidRPr="002A35AE">
        <w:rPr>
          <w:rFonts w:cstheme="minorHAnsi"/>
          <w:sz w:val="24"/>
          <w:szCs w:val="24"/>
        </w:rPr>
        <w:t>With respect to item 120</w:t>
      </w:r>
      <w:r w:rsidR="00713E94">
        <w:rPr>
          <w:rFonts w:cstheme="minorHAnsi"/>
          <w:sz w:val="24"/>
          <w:szCs w:val="24"/>
        </w:rPr>
        <w:t>,</w:t>
      </w:r>
      <w:r w:rsidRPr="002A35AE">
        <w:rPr>
          <w:rFonts w:cstheme="minorHAnsi"/>
          <w:sz w:val="24"/>
          <w:szCs w:val="24"/>
        </w:rPr>
        <w:t xml:space="preserve"> t</w:t>
      </w:r>
      <w:r w:rsidR="00995D7A" w:rsidRPr="002A35AE">
        <w:rPr>
          <w:rFonts w:cstheme="minorHAnsi"/>
          <w:sz w:val="24"/>
          <w:szCs w:val="24"/>
        </w:rPr>
        <w:t xml:space="preserve">he </w:t>
      </w:r>
      <w:r w:rsidR="00902709" w:rsidRPr="002A35AE">
        <w:rPr>
          <w:rFonts w:cstheme="minorHAnsi"/>
          <w:sz w:val="24"/>
          <w:szCs w:val="24"/>
        </w:rPr>
        <w:t>Applicant</w:t>
      </w:r>
      <w:r w:rsidR="00995D7A" w:rsidRPr="002A35AE">
        <w:rPr>
          <w:rFonts w:cstheme="minorHAnsi"/>
          <w:sz w:val="24"/>
          <w:szCs w:val="24"/>
        </w:rPr>
        <w:t xml:space="preserve"> does not know what transpired in the General Motors Johnston case. It is irrelevant for the </w:t>
      </w:r>
      <w:r w:rsidR="00902709" w:rsidRPr="002A35AE">
        <w:rPr>
          <w:rFonts w:cstheme="minorHAnsi"/>
          <w:sz w:val="24"/>
          <w:szCs w:val="24"/>
        </w:rPr>
        <w:t>Applicant</w:t>
      </w:r>
      <w:r w:rsidR="00995D7A" w:rsidRPr="002A35AE">
        <w:rPr>
          <w:rFonts w:cstheme="minorHAnsi"/>
          <w:sz w:val="24"/>
          <w:szCs w:val="24"/>
        </w:rPr>
        <w:t xml:space="preserve">. Each case is unique. Each case has its own merits. What the </w:t>
      </w:r>
      <w:r w:rsidR="00902709" w:rsidRPr="002A35AE">
        <w:rPr>
          <w:rFonts w:cstheme="minorHAnsi"/>
          <w:sz w:val="24"/>
          <w:szCs w:val="24"/>
        </w:rPr>
        <w:t>Applicant</w:t>
      </w:r>
      <w:r w:rsidR="00995D7A" w:rsidRPr="002A35AE">
        <w:rPr>
          <w:rFonts w:cstheme="minorHAnsi"/>
          <w:sz w:val="24"/>
          <w:szCs w:val="24"/>
        </w:rPr>
        <w:t xml:space="preserve"> does know is what he endured at </w:t>
      </w:r>
      <w:r w:rsidR="008A741B">
        <w:rPr>
          <w:rFonts w:cstheme="minorHAnsi"/>
          <w:sz w:val="24"/>
          <w:szCs w:val="24"/>
        </w:rPr>
        <w:t>Peterborough</w:t>
      </w:r>
      <w:r w:rsidR="00995D7A" w:rsidRPr="002A35AE">
        <w:rPr>
          <w:rFonts w:cstheme="minorHAnsi"/>
          <w:sz w:val="24"/>
          <w:szCs w:val="24"/>
        </w:rPr>
        <w:t xml:space="preserve"> Detachment and afterwards as a result of the internal complaint. The </w:t>
      </w:r>
      <w:r w:rsidR="00902709" w:rsidRPr="002A35AE">
        <w:rPr>
          <w:rFonts w:cstheme="minorHAnsi"/>
          <w:sz w:val="24"/>
          <w:szCs w:val="24"/>
        </w:rPr>
        <w:t>Applicant</w:t>
      </w:r>
      <w:r w:rsidR="00995D7A" w:rsidRPr="002A35AE">
        <w:rPr>
          <w:rFonts w:cstheme="minorHAnsi"/>
          <w:sz w:val="24"/>
          <w:szCs w:val="24"/>
        </w:rPr>
        <w:t xml:space="preserve"> testified and the </w:t>
      </w:r>
      <w:r w:rsidR="00902709" w:rsidRPr="002A35AE">
        <w:rPr>
          <w:rFonts w:cstheme="minorHAnsi"/>
          <w:sz w:val="24"/>
          <w:szCs w:val="24"/>
        </w:rPr>
        <w:t>Applicant</w:t>
      </w:r>
      <w:r w:rsidR="00995D7A" w:rsidRPr="002A35AE">
        <w:rPr>
          <w:rFonts w:cstheme="minorHAnsi"/>
          <w:sz w:val="24"/>
          <w:szCs w:val="24"/>
        </w:rPr>
        <w:t xml:space="preserve"> reaffirms again, that it was nothing short of an evil. Plain evil!</w:t>
      </w:r>
      <w:r w:rsidR="00995D7A" w:rsidRPr="002A35AE">
        <w:rPr>
          <w:rFonts w:cstheme="minorHAnsi"/>
          <w:b/>
          <w:bCs/>
          <w:sz w:val="24"/>
          <w:szCs w:val="24"/>
        </w:rPr>
        <w:t xml:space="preserve"> </w:t>
      </w:r>
    </w:p>
    <w:p w:rsidR="001D44E4" w:rsidRPr="001D44E4" w:rsidRDefault="001D44E4" w:rsidP="008A741B">
      <w:pPr>
        <w:pStyle w:val="ListParagraph"/>
        <w:spacing w:line="240" w:lineRule="auto"/>
        <w:rPr>
          <w:rFonts w:cstheme="minorHAnsi"/>
          <w:bCs/>
          <w:sz w:val="24"/>
          <w:szCs w:val="24"/>
        </w:rPr>
      </w:pPr>
    </w:p>
    <w:p w:rsidR="001D44E4" w:rsidRDefault="006C3DB3" w:rsidP="007E6133">
      <w:pPr>
        <w:pStyle w:val="ListParagraph"/>
        <w:numPr>
          <w:ilvl w:val="0"/>
          <w:numId w:val="2"/>
        </w:numPr>
        <w:ind w:hanging="720"/>
        <w:rPr>
          <w:rFonts w:cstheme="minorHAnsi"/>
          <w:bCs/>
          <w:sz w:val="24"/>
          <w:szCs w:val="24"/>
        </w:rPr>
      </w:pPr>
      <w:r>
        <w:rPr>
          <w:rFonts w:cstheme="minorHAnsi"/>
          <w:bCs/>
          <w:sz w:val="24"/>
          <w:szCs w:val="24"/>
        </w:rPr>
        <w:lastRenderedPageBreak/>
        <w:t>T</w:t>
      </w:r>
      <w:r w:rsidR="00A5034C" w:rsidRPr="001D44E4">
        <w:rPr>
          <w:rFonts w:cstheme="minorHAnsi"/>
          <w:bCs/>
          <w:sz w:val="24"/>
          <w:szCs w:val="24"/>
        </w:rPr>
        <w:t xml:space="preserve">he </w:t>
      </w:r>
      <w:r w:rsidR="00902709">
        <w:rPr>
          <w:rFonts w:cstheme="minorHAnsi"/>
          <w:bCs/>
          <w:sz w:val="24"/>
          <w:szCs w:val="24"/>
        </w:rPr>
        <w:t>Applicant</w:t>
      </w:r>
      <w:r w:rsidR="00A5034C" w:rsidRPr="001D44E4">
        <w:rPr>
          <w:rFonts w:cstheme="minorHAnsi"/>
          <w:bCs/>
          <w:sz w:val="24"/>
          <w:szCs w:val="24"/>
        </w:rPr>
        <w:t xml:space="preserve"> reiterates </w:t>
      </w:r>
      <w:r>
        <w:rPr>
          <w:rFonts w:cstheme="minorHAnsi"/>
          <w:bCs/>
          <w:sz w:val="24"/>
          <w:szCs w:val="24"/>
        </w:rPr>
        <w:t xml:space="preserve">that </w:t>
      </w:r>
      <w:r w:rsidR="00A5034C" w:rsidRPr="001D44E4">
        <w:rPr>
          <w:rFonts w:cstheme="minorHAnsi"/>
          <w:bCs/>
          <w:sz w:val="24"/>
          <w:szCs w:val="24"/>
        </w:rPr>
        <w:t>Johnston</w:t>
      </w:r>
      <w:r>
        <w:rPr>
          <w:rFonts w:cstheme="minorHAnsi"/>
          <w:bCs/>
          <w:sz w:val="24"/>
          <w:szCs w:val="24"/>
        </w:rPr>
        <w:t xml:space="preserve"> had lingering concerns</w:t>
      </w:r>
      <w:r w:rsidR="00A5034C" w:rsidRPr="001D44E4">
        <w:rPr>
          <w:rFonts w:cstheme="minorHAnsi"/>
          <w:bCs/>
          <w:sz w:val="24"/>
          <w:szCs w:val="24"/>
        </w:rPr>
        <w:t xml:space="preserve"> even though the </w:t>
      </w:r>
      <w:r w:rsidR="00902709">
        <w:rPr>
          <w:rFonts w:cstheme="minorHAnsi"/>
          <w:bCs/>
          <w:sz w:val="24"/>
          <w:szCs w:val="24"/>
        </w:rPr>
        <w:t>Applicant</w:t>
      </w:r>
      <w:r w:rsidR="00A5034C" w:rsidRPr="001D44E4">
        <w:rPr>
          <w:rFonts w:cstheme="minorHAnsi"/>
          <w:bCs/>
          <w:sz w:val="24"/>
          <w:szCs w:val="24"/>
        </w:rPr>
        <w:t xml:space="preserve"> was cleared of any wrong doing. In </w:t>
      </w:r>
      <w:r w:rsidR="001D44E4" w:rsidRPr="001D44E4">
        <w:rPr>
          <w:rFonts w:cstheme="minorHAnsi"/>
          <w:bCs/>
          <w:sz w:val="24"/>
          <w:szCs w:val="24"/>
        </w:rPr>
        <w:t>others</w:t>
      </w:r>
      <w:r w:rsidR="00A5034C" w:rsidRPr="001D44E4">
        <w:rPr>
          <w:rFonts w:cstheme="minorHAnsi"/>
          <w:bCs/>
          <w:sz w:val="24"/>
          <w:szCs w:val="24"/>
        </w:rPr>
        <w:t xml:space="preserve"> words Johnston’s mind was poisoned towards the </w:t>
      </w:r>
      <w:r w:rsidR="00902709">
        <w:rPr>
          <w:rFonts w:cstheme="minorHAnsi"/>
          <w:bCs/>
          <w:sz w:val="24"/>
          <w:szCs w:val="24"/>
        </w:rPr>
        <w:t>Applicant</w:t>
      </w:r>
      <w:r w:rsidR="00A5034C" w:rsidRPr="001D44E4">
        <w:rPr>
          <w:rFonts w:cstheme="minorHAnsi"/>
          <w:bCs/>
          <w:sz w:val="24"/>
          <w:szCs w:val="24"/>
        </w:rPr>
        <w:t xml:space="preserve"> by the PSB investigation and it was a lingering poison. If he could have that lingering poison in his mind it is not hard to imagine that others had it as well. That is something the </w:t>
      </w:r>
      <w:r w:rsidR="00902709">
        <w:rPr>
          <w:rFonts w:cstheme="minorHAnsi"/>
          <w:bCs/>
          <w:sz w:val="24"/>
          <w:szCs w:val="24"/>
        </w:rPr>
        <w:t>Applicant</w:t>
      </w:r>
      <w:r w:rsidR="00A5034C" w:rsidRPr="001D44E4">
        <w:rPr>
          <w:rFonts w:cstheme="minorHAnsi"/>
          <w:bCs/>
          <w:sz w:val="24"/>
          <w:szCs w:val="24"/>
        </w:rPr>
        <w:t xml:space="preserve"> felt. It is something Butorac </w:t>
      </w:r>
      <w:r w:rsidR="007E6133">
        <w:rPr>
          <w:rFonts w:cstheme="minorHAnsi"/>
          <w:bCs/>
          <w:sz w:val="24"/>
          <w:szCs w:val="24"/>
        </w:rPr>
        <w:t>was</w:t>
      </w:r>
      <w:r w:rsidR="00A5034C" w:rsidRPr="001D44E4">
        <w:rPr>
          <w:rFonts w:cstheme="minorHAnsi"/>
          <w:bCs/>
          <w:sz w:val="24"/>
          <w:szCs w:val="24"/>
        </w:rPr>
        <w:t xml:space="preserve"> ashamed of. It is something that the </w:t>
      </w:r>
      <w:r w:rsidR="00902709">
        <w:rPr>
          <w:rFonts w:cstheme="minorHAnsi"/>
          <w:bCs/>
          <w:sz w:val="24"/>
          <w:szCs w:val="24"/>
        </w:rPr>
        <w:t>Applicant</w:t>
      </w:r>
      <w:r w:rsidR="00A5034C" w:rsidRPr="001D44E4">
        <w:rPr>
          <w:rFonts w:cstheme="minorHAnsi"/>
          <w:bCs/>
          <w:sz w:val="24"/>
          <w:szCs w:val="24"/>
        </w:rPr>
        <w:t xml:space="preserve"> testified </w:t>
      </w:r>
      <w:r>
        <w:rPr>
          <w:rFonts w:cstheme="minorHAnsi"/>
          <w:bCs/>
          <w:sz w:val="24"/>
          <w:szCs w:val="24"/>
        </w:rPr>
        <w:t xml:space="preserve">about, </w:t>
      </w:r>
      <w:r w:rsidR="00A5034C" w:rsidRPr="001D44E4">
        <w:rPr>
          <w:rFonts w:cstheme="minorHAnsi"/>
          <w:bCs/>
          <w:sz w:val="24"/>
          <w:szCs w:val="24"/>
        </w:rPr>
        <w:t xml:space="preserve">that the </w:t>
      </w:r>
      <w:r w:rsidR="008A741B">
        <w:rPr>
          <w:rFonts w:cstheme="minorHAnsi"/>
          <w:bCs/>
          <w:sz w:val="24"/>
          <w:szCs w:val="24"/>
        </w:rPr>
        <w:t>he</w:t>
      </w:r>
      <w:r w:rsidR="007E6133">
        <w:rPr>
          <w:rFonts w:cstheme="minorHAnsi"/>
          <w:bCs/>
          <w:sz w:val="24"/>
          <w:szCs w:val="24"/>
        </w:rPr>
        <w:t xml:space="preserve"> felt l</w:t>
      </w:r>
      <w:r w:rsidR="00A5034C" w:rsidRPr="001D44E4">
        <w:rPr>
          <w:rFonts w:cstheme="minorHAnsi"/>
          <w:bCs/>
          <w:sz w:val="24"/>
          <w:szCs w:val="24"/>
        </w:rPr>
        <w:t xml:space="preserve">ike </w:t>
      </w:r>
      <w:r w:rsidR="007E6133">
        <w:rPr>
          <w:rFonts w:cstheme="minorHAnsi"/>
          <w:bCs/>
          <w:sz w:val="24"/>
          <w:szCs w:val="24"/>
        </w:rPr>
        <w:t>an ‘U</w:t>
      </w:r>
      <w:r w:rsidR="00A5034C" w:rsidRPr="001D44E4">
        <w:rPr>
          <w:rFonts w:cstheme="minorHAnsi"/>
          <w:bCs/>
          <w:sz w:val="24"/>
          <w:szCs w:val="24"/>
        </w:rPr>
        <w:t>ndesirable’.</w:t>
      </w:r>
      <w:r w:rsidR="001D44E4" w:rsidRPr="001D44E4">
        <w:rPr>
          <w:rFonts w:cstheme="minorHAnsi"/>
          <w:bCs/>
          <w:sz w:val="24"/>
          <w:szCs w:val="24"/>
        </w:rPr>
        <w:t xml:space="preserve"> </w:t>
      </w:r>
    </w:p>
    <w:p w:rsidR="00C35E69" w:rsidRPr="00C35E69" w:rsidRDefault="00C35E69" w:rsidP="00C35E69">
      <w:pPr>
        <w:pStyle w:val="ListParagraph"/>
        <w:rPr>
          <w:rFonts w:cstheme="minorHAnsi"/>
          <w:bCs/>
          <w:sz w:val="24"/>
          <w:szCs w:val="24"/>
        </w:rPr>
      </w:pPr>
    </w:p>
    <w:p w:rsidR="006437F4" w:rsidRPr="006437F4" w:rsidRDefault="001D44E4" w:rsidP="008A741B">
      <w:pPr>
        <w:pStyle w:val="ListParagraph"/>
        <w:numPr>
          <w:ilvl w:val="0"/>
          <w:numId w:val="2"/>
        </w:numPr>
        <w:ind w:hanging="720"/>
        <w:rPr>
          <w:rFonts w:cstheme="minorHAnsi"/>
          <w:bCs/>
          <w:sz w:val="24"/>
          <w:szCs w:val="24"/>
        </w:rPr>
      </w:pPr>
      <w:r w:rsidRPr="001D44E4">
        <w:rPr>
          <w:rFonts w:cstheme="minorHAnsi"/>
          <w:bCs/>
          <w:sz w:val="24"/>
          <w:szCs w:val="24"/>
        </w:rPr>
        <w:t>Johnston’s rank and position at that detachment is synonymous with the saying, ‘everything flows downhill.’</w:t>
      </w:r>
      <w:r w:rsidR="006C3DB3">
        <w:rPr>
          <w:rFonts w:cstheme="minorHAnsi"/>
          <w:bCs/>
          <w:sz w:val="24"/>
          <w:szCs w:val="24"/>
        </w:rPr>
        <w:t xml:space="preserve"> Is it any wonder why </w:t>
      </w:r>
      <w:r w:rsidR="008A741B">
        <w:rPr>
          <w:rFonts w:cstheme="minorHAnsi"/>
          <w:bCs/>
          <w:sz w:val="24"/>
          <w:szCs w:val="24"/>
        </w:rPr>
        <w:t xml:space="preserve">the Applicant </w:t>
      </w:r>
      <w:r w:rsidR="008A741B" w:rsidRPr="00713E94">
        <w:rPr>
          <w:rFonts w:cstheme="minorHAnsi"/>
          <w:bCs/>
          <w:sz w:val="24"/>
          <w:szCs w:val="24"/>
        </w:rPr>
        <w:t>was viewed and treated</w:t>
      </w:r>
      <w:r w:rsidR="008A741B">
        <w:rPr>
          <w:rFonts w:cstheme="minorHAnsi"/>
          <w:bCs/>
          <w:sz w:val="24"/>
          <w:szCs w:val="24"/>
        </w:rPr>
        <w:t xml:space="preserve"> </w:t>
      </w:r>
      <w:r w:rsidR="007E6133">
        <w:rPr>
          <w:rFonts w:cstheme="minorHAnsi"/>
          <w:bCs/>
          <w:sz w:val="24"/>
          <w:szCs w:val="24"/>
        </w:rPr>
        <w:t>like an ‘U</w:t>
      </w:r>
      <w:r w:rsidR="006C3DB3">
        <w:rPr>
          <w:rFonts w:cstheme="minorHAnsi"/>
          <w:bCs/>
          <w:sz w:val="24"/>
          <w:szCs w:val="24"/>
        </w:rPr>
        <w:t xml:space="preserve">ndesirable’ </w:t>
      </w:r>
      <w:r w:rsidR="006437F4">
        <w:rPr>
          <w:rFonts w:cstheme="minorHAnsi"/>
          <w:bCs/>
          <w:sz w:val="24"/>
          <w:szCs w:val="24"/>
        </w:rPr>
        <w:t>around others at the detachment?</w:t>
      </w:r>
    </w:p>
    <w:p w:rsidR="006437F4" w:rsidRPr="006437F4" w:rsidRDefault="006437F4" w:rsidP="008A741B">
      <w:pPr>
        <w:pStyle w:val="ListParagraph"/>
        <w:spacing w:line="240" w:lineRule="auto"/>
        <w:rPr>
          <w:rFonts w:cstheme="minorHAnsi"/>
          <w:bCs/>
          <w:sz w:val="24"/>
          <w:szCs w:val="24"/>
        </w:rPr>
      </w:pPr>
    </w:p>
    <w:p w:rsidR="001007A2" w:rsidRDefault="006437F4" w:rsidP="006437F4">
      <w:pPr>
        <w:pStyle w:val="ListParagraph"/>
        <w:numPr>
          <w:ilvl w:val="0"/>
          <w:numId w:val="2"/>
        </w:numPr>
        <w:ind w:hanging="720"/>
        <w:rPr>
          <w:rFonts w:cstheme="minorHAnsi"/>
          <w:sz w:val="24"/>
          <w:szCs w:val="24"/>
        </w:rPr>
      </w:pPr>
      <w:r>
        <w:rPr>
          <w:rFonts w:cstheme="minorHAnsi"/>
          <w:sz w:val="24"/>
          <w:szCs w:val="24"/>
        </w:rPr>
        <w:t xml:space="preserve">With respect to item 128, </w:t>
      </w:r>
      <w:r w:rsidR="0040420D">
        <w:rPr>
          <w:rFonts w:cstheme="minorHAnsi"/>
          <w:sz w:val="24"/>
          <w:szCs w:val="24"/>
        </w:rPr>
        <w:t>i</w:t>
      </w:r>
      <w:r w:rsidR="001007A2" w:rsidRPr="001D44E4">
        <w:rPr>
          <w:rFonts w:cstheme="minorHAnsi"/>
          <w:sz w:val="24"/>
          <w:szCs w:val="24"/>
        </w:rPr>
        <w:t xml:space="preserve">t is the position of the </w:t>
      </w:r>
      <w:r w:rsidR="00902709">
        <w:rPr>
          <w:rFonts w:cstheme="minorHAnsi"/>
          <w:sz w:val="24"/>
          <w:szCs w:val="24"/>
        </w:rPr>
        <w:t>Applicant</w:t>
      </w:r>
      <w:r w:rsidR="001007A2" w:rsidRPr="001D44E4">
        <w:rPr>
          <w:rFonts w:cstheme="minorHAnsi"/>
          <w:sz w:val="24"/>
          <w:szCs w:val="24"/>
        </w:rPr>
        <w:t xml:space="preserve"> that he provided more than enough </w:t>
      </w:r>
      <w:r w:rsidR="0040420D">
        <w:rPr>
          <w:rFonts w:cstheme="minorHAnsi"/>
          <w:sz w:val="24"/>
          <w:szCs w:val="24"/>
        </w:rPr>
        <w:t xml:space="preserve">clear and convincing </w:t>
      </w:r>
      <w:r w:rsidR="001007A2" w:rsidRPr="001D44E4">
        <w:rPr>
          <w:rFonts w:cstheme="minorHAnsi"/>
          <w:sz w:val="24"/>
          <w:szCs w:val="24"/>
        </w:rPr>
        <w:t xml:space="preserve">evidence to satisfy the balance of probabilities that he was subjected to differential </w:t>
      </w:r>
      <w:r w:rsidR="008A741B" w:rsidRPr="00713E94">
        <w:rPr>
          <w:rFonts w:cstheme="minorHAnsi"/>
          <w:sz w:val="24"/>
          <w:szCs w:val="24"/>
        </w:rPr>
        <w:t>and oppressive</w:t>
      </w:r>
      <w:r w:rsidR="008A741B">
        <w:rPr>
          <w:rFonts w:cstheme="minorHAnsi"/>
          <w:sz w:val="24"/>
          <w:szCs w:val="24"/>
        </w:rPr>
        <w:t xml:space="preserve"> </w:t>
      </w:r>
      <w:r w:rsidR="001007A2" w:rsidRPr="001D44E4">
        <w:rPr>
          <w:rFonts w:cstheme="minorHAnsi"/>
          <w:sz w:val="24"/>
          <w:szCs w:val="24"/>
        </w:rPr>
        <w:t xml:space="preserve">treatment that stemmed from the violation of </w:t>
      </w:r>
      <w:r w:rsidR="00C84C6A" w:rsidRPr="001D44E4">
        <w:rPr>
          <w:rFonts w:cstheme="minorHAnsi"/>
          <w:sz w:val="24"/>
          <w:szCs w:val="24"/>
        </w:rPr>
        <w:t>his fundamental human rights</w:t>
      </w:r>
      <w:r w:rsidR="001007A2" w:rsidRPr="001D44E4">
        <w:rPr>
          <w:rFonts w:cstheme="minorHAnsi"/>
          <w:sz w:val="24"/>
          <w:szCs w:val="24"/>
        </w:rPr>
        <w:t>. T</w:t>
      </w:r>
      <w:r w:rsidR="00C84C6A" w:rsidRPr="001D44E4">
        <w:rPr>
          <w:rFonts w:cstheme="minorHAnsi"/>
          <w:sz w:val="24"/>
          <w:szCs w:val="24"/>
        </w:rPr>
        <w:t>his</w:t>
      </w:r>
      <w:r w:rsidR="001007A2" w:rsidRPr="001D44E4">
        <w:rPr>
          <w:rFonts w:cstheme="minorHAnsi"/>
          <w:sz w:val="24"/>
          <w:szCs w:val="24"/>
        </w:rPr>
        <w:t xml:space="preserve"> differential </w:t>
      </w:r>
      <w:r w:rsidR="008A741B" w:rsidRPr="00713E94">
        <w:rPr>
          <w:rFonts w:cstheme="minorHAnsi"/>
          <w:sz w:val="24"/>
          <w:szCs w:val="24"/>
        </w:rPr>
        <w:t>and derogatory</w:t>
      </w:r>
      <w:r w:rsidR="008A741B">
        <w:rPr>
          <w:rFonts w:cstheme="minorHAnsi"/>
          <w:sz w:val="24"/>
          <w:szCs w:val="24"/>
        </w:rPr>
        <w:t xml:space="preserve"> </w:t>
      </w:r>
      <w:r w:rsidR="001007A2" w:rsidRPr="001D44E4">
        <w:rPr>
          <w:rFonts w:cstheme="minorHAnsi"/>
          <w:sz w:val="24"/>
          <w:szCs w:val="24"/>
        </w:rPr>
        <w:t xml:space="preserve">treatment resulted in </w:t>
      </w:r>
      <w:r w:rsidR="0040420D">
        <w:rPr>
          <w:rFonts w:cstheme="minorHAnsi"/>
          <w:sz w:val="24"/>
          <w:szCs w:val="24"/>
        </w:rPr>
        <w:t xml:space="preserve">a </w:t>
      </w:r>
      <w:r w:rsidR="001007A2" w:rsidRPr="001D44E4">
        <w:rPr>
          <w:rFonts w:cstheme="minorHAnsi"/>
          <w:sz w:val="24"/>
          <w:szCs w:val="24"/>
        </w:rPr>
        <w:t xml:space="preserve">poisoned work environment, scrutiny, targeting, fabrications, all of which ultimately led to </w:t>
      </w:r>
      <w:r w:rsidR="0040420D">
        <w:rPr>
          <w:rFonts w:cstheme="minorHAnsi"/>
          <w:sz w:val="24"/>
          <w:szCs w:val="24"/>
        </w:rPr>
        <w:t>his</w:t>
      </w:r>
      <w:r w:rsidR="00C84C6A" w:rsidRPr="001D44E4">
        <w:rPr>
          <w:rFonts w:cstheme="minorHAnsi"/>
          <w:sz w:val="24"/>
          <w:szCs w:val="24"/>
        </w:rPr>
        <w:t xml:space="preserve"> </w:t>
      </w:r>
      <w:r w:rsidR="001007A2" w:rsidRPr="001D44E4">
        <w:rPr>
          <w:rFonts w:cstheme="minorHAnsi"/>
          <w:sz w:val="24"/>
          <w:szCs w:val="24"/>
        </w:rPr>
        <w:t xml:space="preserve">dismissal from employment.   </w:t>
      </w:r>
    </w:p>
    <w:p w:rsidR="006C3DB3" w:rsidRDefault="006C3DB3" w:rsidP="00C94ECF">
      <w:pPr>
        <w:pStyle w:val="ListParagraph"/>
        <w:rPr>
          <w:rFonts w:cstheme="minorHAnsi"/>
          <w:sz w:val="24"/>
          <w:szCs w:val="24"/>
        </w:rPr>
      </w:pPr>
    </w:p>
    <w:p w:rsidR="00C011DD" w:rsidRPr="00F42F05" w:rsidRDefault="001D44E4" w:rsidP="00F42F05">
      <w:pPr>
        <w:pStyle w:val="ListParagraph"/>
        <w:numPr>
          <w:ilvl w:val="0"/>
          <w:numId w:val="2"/>
        </w:numPr>
        <w:ind w:left="709" w:hanging="720"/>
        <w:rPr>
          <w:rFonts w:cstheme="minorHAnsi"/>
          <w:sz w:val="24"/>
          <w:szCs w:val="24"/>
        </w:rPr>
      </w:pPr>
      <w:r w:rsidRPr="00F42F05">
        <w:rPr>
          <w:rFonts w:cstheme="minorHAnsi"/>
          <w:sz w:val="24"/>
          <w:szCs w:val="24"/>
        </w:rPr>
        <w:t xml:space="preserve">The </w:t>
      </w:r>
      <w:r w:rsidR="00902709" w:rsidRPr="00F42F05">
        <w:rPr>
          <w:rFonts w:cstheme="minorHAnsi"/>
          <w:sz w:val="24"/>
          <w:szCs w:val="24"/>
        </w:rPr>
        <w:t>Applicant</w:t>
      </w:r>
      <w:r w:rsidRPr="00F42F05">
        <w:rPr>
          <w:rFonts w:cstheme="minorHAnsi"/>
          <w:sz w:val="24"/>
          <w:szCs w:val="24"/>
        </w:rPr>
        <w:t xml:space="preserve"> actually thanks </w:t>
      </w:r>
      <w:r w:rsidR="00B30CA9" w:rsidRPr="00F42F05">
        <w:rPr>
          <w:rFonts w:cstheme="minorHAnsi"/>
          <w:sz w:val="24"/>
          <w:szCs w:val="24"/>
        </w:rPr>
        <w:t>Counsel</w:t>
      </w:r>
      <w:r w:rsidRPr="00F42F05">
        <w:rPr>
          <w:rFonts w:cstheme="minorHAnsi"/>
          <w:sz w:val="24"/>
          <w:szCs w:val="24"/>
        </w:rPr>
        <w:t xml:space="preserve"> for providing an </w:t>
      </w:r>
      <w:r w:rsidR="00900838" w:rsidRPr="00F42F05">
        <w:rPr>
          <w:rFonts w:cstheme="minorHAnsi"/>
          <w:sz w:val="24"/>
          <w:szCs w:val="24"/>
        </w:rPr>
        <w:t xml:space="preserve">opinion of the Applicant that is simply not true but </w:t>
      </w:r>
      <w:r w:rsidR="00F42F05" w:rsidRPr="00F42F05">
        <w:rPr>
          <w:rFonts w:cstheme="minorHAnsi"/>
          <w:sz w:val="24"/>
          <w:szCs w:val="24"/>
        </w:rPr>
        <w:t xml:space="preserve">useful, </w:t>
      </w:r>
      <w:r w:rsidRPr="00F42F05">
        <w:rPr>
          <w:rFonts w:cstheme="minorHAnsi"/>
          <w:sz w:val="24"/>
          <w:szCs w:val="24"/>
        </w:rPr>
        <w:t>‘</w:t>
      </w:r>
      <w:r w:rsidRPr="00F42F05">
        <w:rPr>
          <w:rFonts w:cstheme="minorHAnsi"/>
          <w:i/>
          <w:sz w:val="24"/>
          <w:szCs w:val="24"/>
        </w:rPr>
        <w:t>It is well settled that subjective views no matter how sincerely held cannot be relied upon …</w:t>
      </w:r>
      <w:proofErr w:type="gramStart"/>
      <w:r w:rsidRPr="00F42F05">
        <w:rPr>
          <w:rFonts w:cstheme="minorHAnsi"/>
          <w:sz w:val="24"/>
          <w:szCs w:val="24"/>
        </w:rPr>
        <w:t>’.</w:t>
      </w:r>
      <w:proofErr w:type="gramEnd"/>
      <w:r w:rsidRPr="00F42F05">
        <w:rPr>
          <w:rFonts w:cstheme="minorHAnsi"/>
          <w:sz w:val="24"/>
          <w:szCs w:val="24"/>
        </w:rPr>
        <w:t xml:space="preserve"> </w:t>
      </w:r>
    </w:p>
    <w:p w:rsidR="00C011DD" w:rsidRDefault="00C011DD" w:rsidP="008A741B">
      <w:pPr>
        <w:pStyle w:val="ListParagraph"/>
        <w:spacing w:line="240" w:lineRule="auto"/>
        <w:rPr>
          <w:rFonts w:cstheme="minorHAnsi"/>
          <w:sz w:val="24"/>
          <w:szCs w:val="24"/>
        </w:rPr>
      </w:pPr>
    </w:p>
    <w:p w:rsidR="001D44E4" w:rsidRDefault="00C011DD" w:rsidP="008A741B">
      <w:pPr>
        <w:pStyle w:val="ListParagraph"/>
        <w:numPr>
          <w:ilvl w:val="0"/>
          <w:numId w:val="2"/>
        </w:numPr>
        <w:ind w:hanging="720"/>
        <w:rPr>
          <w:rFonts w:cstheme="minorHAnsi"/>
          <w:i/>
          <w:sz w:val="24"/>
          <w:szCs w:val="24"/>
        </w:rPr>
      </w:pPr>
      <w:r>
        <w:rPr>
          <w:rFonts w:cstheme="minorHAnsi"/>
          <w:sz w:val="24"/>
          <w:szCs w:val="24"/>
        </w:rPr>
        <w:t xml:space="preserve">Nie did admit that all his observations and PFC of the </w:t>
      </w:r>
      <w:r w:rsidR="00902709">
        <w:rPr>
          <w:rFonts w:cstheme="minorHAnsi"/>
          <w:sz w:val="24"/>
          <w:szCs w:val="24"/>
        </w:rPr>
        <w:t>Applicant</w:t>
      </w:r>
      <w:r>
        <w:rPr>
          <w:rFonts w:cstheme="minorHAnsi"/>
          <w:sz w:val="24"/>
          <w:szCs w:val="24"/>
        </w:rPr>
        <w:t xml:space="preserve"> was from a subjective point of view. It </w:t>
      </w:r>
      <w:r w:rsidR="008A741B">
        <w:rPr>
          <w:rFonts w:cstheme="minorHAnsi"/>
          <w:sz w:val="24"/>
          <w:szCs w:val="24"/>
        </w:rPr>
        <w:t>was</w:t>
      </w:r>
      <w:r>
        <w:rPr>
          <w:rFonts w:cstheme="minorHAnsi"/>
          <w:sz w:val="24"/>
          <w:szCs w:val="24"/>
        </w:rPr>
        <w:t xml:space="preserve"> shown that the ‘Does Not Meet Requirements’ categories in his evaluations of the </w:t>
      </w:r>
      <w:r w:rsidR="00902709">
        <w:rPr>
          <w:rFonts w:cstheme="minorHAnsi"/>
          <w:sz w:val="24"/>
          <w:szCs w:val="24"/>
        </w:rPr>
        <w:t>Applicant</w:t>
      </w:r>
      <w:r>
        <w:rPr>
          <w:rFonts w:cstheme="minorHAnsi"/>
          <w:sz w:val="24"/>
          <w:szCs w:val="24"/>
        </w:rPr>
        <w:t xml:space="preserve"> were extracted from his PFC, thus rendering them mute</w:t>
      </w:r>
      <w:r w:rsidR="00713E94">
        <w:rPr>
          <w:rFonts w:cstheme="minorHAnsi"/>
          <w:sz w:val="24"/>
          <w:szCs w:val="24"/>
        </w:rPr>
        <w:t>,</w:t>
      </w:r>
      <w:r>
        <w:rPr>
          <w:rFonts w:cstheme="minorHAnsi"/>
          <w:sz w:val="24"/>
          <w:szCs w:val="24"/>
        </w:rPr>
        <w:t xml:space="preserve"> </w:t>
      </w:r>
      <w:r w:rsidRPr="00C011DD">
        <w:rPr>
          <w:rFonts w:cstheme="minorHAnsi"/>
          <w:i/>
          <w:sz w:val="24"/>
          <w:szCs w:val="24"/>
        </w:rPr>
        <w:t>ipso facto.</w:t>
      </w:r>
      <w:r>
        <w:rPr>
          <w:rStyle w:val="FootnoteReference"/>
          <w:rFonts w:cstheme="minorHAnsi"/>
          <w:i/>
          <w:sz w:val="24"/>
          <w:szCs w:val="24"/>
        </w:rPr>
        <w:footnoteReference w:id="155"/>
      </w:r>
      <w:r w:rsidR="001D44E4" w:rsidRPr="00C011DD">
        <w:rPr>
          <w:rFonts w:cstheme="minorHAnsi"/>
          <w:i/>
          <w:sz w:val="24"/>
          <w:szCs w:val="24"/>
        </w:rPr>
        <w:t xml:space="preserve"> </w:t>
      </w:r>
    </w:p>
    <w:p w:rsidR="00900838" w:rsidRDefault="00900838" w:rsidP="00900838">
      <w:pPr>
        <w:pStyle w:val="ListParagraph"/>
        <w:rPr>
          <w:rFonts w:cstheme="minorHAnsi"/>
          <w:i/>
          <w:sz w:val="24"/>
          <w:szCs w:val="24"/>
        </w:rPr>
      </w:pPr>
    </w:p>
    <w:p w:rsidR="008A741B" w:rsidRDefault="00900838" w:rsidP="00B522E8">
      <w:pPr>
        <w:pStyle w:val="ListParagraph"/>
        <w:numPr>
          <w:ilvl w:val="0"/>
          <w:numId w:val="2"/>
        </w:numPr>
        <w:ind w:hanging="720"/>
        <w:rPr>
          <w:rFonts w:cstheme="minorHAnsi"/>
          <w:b/>
          <w:sz w:val="28"/>
          <w:szCs w:val="28"/>
        </w:rPr>
      </w:pPr>
      <w:r>
        <w:rPr>
          <w:rFonts w:cstheme="minorHAnsi"/>
          <w:sz w:val="24"/>
          <w:szCs w:val="24"/>
        </w:rPr>
        <w:t>Contrary to the Respondent’s position in item 128, the Applicant’s so called ‘subjective’ view is supported by numerous pieces of documentary evidence that makes his view and</w:t>
      </w:r>
      <w:r w:rsidR="00C35E69">
        <w:rPr>
          <w:rFonts w:cstheme="minorHAnsi"/>
          <w:sz w:val="24"/>
          <w:szCs w:val="24"/>
        </w:rPr>
        <w:t xml:space="preserve"> </w:t>
      </w:r>
      <w:r w:rsidR="00B527B9">
        <w:rPr>
          <w:rFonts w:cstheme="minorHAnsi"/>
          <w:sz w:val="24"/>
          <w:szCs w:val="24"/>
        </w:rPr>
        <w:t>the allegations</w:t>
      </w:r>
      <w:r>
        <w:rPr>
          <w:rFonts w:cstheme="minorHAnsi"/>
          <w:sz w:val="24"/>
          <w:szCs w:val="24"/>
        </w:rPr>
        <w:t xml:space="preserve"> real. </w:t>
      </w:r>
      <w:r w:rsidR="00793D46">
        <w:rPr>
          <w:rFonts w:cstheme="minorHAnsi"/>
          <w:sz w:val="24"/>
          <w:szCs w:val="24"/>
        </w:rPr>
        <w:t>Hence</w:t>
      </w:r>
      <w:r w:rsidR="00D27C98">
        <w:rPr>
          <w:rFonts w:cstheme="minorHAnsi"/>
          <w:sz w:val="24"/>
          <w:szCs w:val="24"/>
        </w:rPr>
        <w:t>,</w:t>
      </w:r>
      <w:r w:rsidR="00793D46">
        <w:rPr>
          <w:rFonts w:cstheme="minorHAnsi"/>
          <w:sz w:val="24"/>
          <w:szCs w:val="24"/>
        </w:rPr>
        <w:t xml:space="preserve"> his allegations are not just vain inferences for they are supported by evidence that has been tendered as exhibits.</w:t>
      </w:r>
      <w:r w:rsidR="00793D46">
        <w:rPr>
          <w:rStyle w:val="FootnoteReference"/>
          <w:rFonts w:cstheme="minorHAnsi"/>
          <w:sz w:val="24"/>
          <w:szCs w:val="24"/>
        </w:rPr>
        <w:footnoteReference w:id="156"/>
      </w:r>
      <w:r w:rsidR="00793D46">
        <w:rPr>
          <w:rFonts w:cstheme="minorHAnsi"/>
          <w:sz w:val="24"/>
          <w:szCs w:val="24"/>
        </w:rPr>
        <w:t xml:space="preserve"> One clear example of this is mentioned in item</w:t>
      </w:r>
      <w:r w:rsidR="00F42F05">
        <w:rPr>
          <w:rFonts w:cstheme="minorHAnsi"/>
          <w:sz w:val="24"/>
          <w:szCs w:val="24"/>
        </w:rPr>
        <w:t>s</w:t>
      </w:r>
      <w:r w:rsidR="00793D46">
        <w:rPr>
          <w:rFonts w:cstheme="minorHAnsi"/>
          <w:sz w:val="24"/>
          <w:szCs w:val="24"/>
        </w:rPr>
        <w:t xml:space="preserve"> </w:t>
      </w:r>
      <w:r w:rsidR="00F42F05">
        <w:rPr>
          <w:rFonts w:cstheme="minorHAnsi"/>
          <w:sz w:val="24"/>
          <w:szCs w:val="24"/>
        </w:rPr>
        <w:t>15 to 33</w:t>
      </w:r>
      <w:r w:rsidR="00793D46">
        <w:rPr>
          <w:rFonts w:cstheme="minorHAnsi"/>
          <w:sz w:val="24"/>
          <w:szCs w:val="24"/>
        </w:rPr>
        <w:t xml:space="preserve"> of the Applicant</w:t>
      </w:r>
      <w:r w:rsidR="00D27C98">
        <w:rPr>
          <w:rFonts w:cstheme="minorHAnsi"/>
          <w:sz w:val="24"/>
          <w:szCs w:val="24"/>
        </w:rPr>
        <w:t>’s c</w:t>
      </w:r>
      <w:r w:rsidR="00793D46">
        <w:rPr>
          <w:rFonts w:cstheme="minorHAnsi"/>
          <w:sz w:val="24"/>
          <w:szCs w:val="24"/>
        </w:rPr>
        <w:t>losing submission</w:t>
      </w:r>
      <w:r w:rsidR="00D27C98">
        <w:rPr>
          <w:rFonts w:cstheme="minorHAnsi"/>
          <w:sz w:val="24"/>
          <w:szCs w:val="24"/>
        </w:rPr>
        <w:t>s</w:t>
      </w:r>
      <w:r w:rsidR="00793D46">
        <w:rPr>
          <w:rFonts w:cstheme="minorHAnsi"/>
          <w:sz w:val="24"/>
          <w:szCs w:val="24"/>
        </w:rPr>
        <w:t xml:space="preserve"> dealing with that racially </w:t>
      </w:r>
      <w:r w:rsidR="00D27C98">
        <w:rPr>
          <w:rFonts w:cstheme="minorHAnsi"/>
          <w:sz w:val="24"/>
          <w:szCs w:val="24"/>
        </w:rPr>
        <w:t>biased</w:t>
      </w:r>
      <w:r w:rsidR="00793D46">
        <w:rPr>
          <w:rFonts w:cstheme="minorHAnsi"/>
          <w:sz w:val="24"/>
          <w:szCs w:val="24"/>
        </w:rPr>
        <w:t xml:space="preserve"> email from Rathbun. Then there is the racially derogatory nick name ‘Crazy Ivan’ </w:t>
      </w:r>
      <w:r w:rsidR="00F42F05">
        <w:rPr>
          <w:rFonts w:cstheme="minorHAnsi"/>
          <w:sz w:val="24"/>
          <w:szCs w:val="24"/>
        </w:rPr>
        <w:t xml:space="preserve">(items 34 to 43 of the Applicant’s closing submissions) </w:t>
      </w:r>
      <w:r w:rsidR="00793D46">
        <w:rPr>
          <w:rFonts w:cstheme="minorHAnsi"/>
          <w:sz w:val="24"/>
          <w:szCs w:val="24"/>
        </w:rPr>
        <w:t xml:space="preserve">and yet again the inhumanely, derogatory and demeaning </w:t>
      </w:r>
      <w:r w:rsidR="00F42F05">
        <w:rPr>
          <w:rFonts w:cstheme="minorHAnsi"/>
          <w:sz w:val="24"/>
          <w:szCs w:val="24"/>
        </w:rPr>
        <w:t>a</w:t>
      </w:r>
      <w:r w:rsidR="00B522E8">
        <w:rPr>
          <w:rFonts w:cstheme="minorHAnsi"/>
          <w:sz w:val="24"/>
          <w:szCs w:val="24"/>
        </w:rPr>
        <w:t>llegation of ‘associating with U</w:t>
      </w:r>
      <w:r w:rsidR="00F42F05">
        <w:rPr>
          <w:rFonts w:cstheme="minorHAnsi"/>
          <w:sz w:val="24"/>
          <w:szCs w:val="24"/>
        </w:rPr>
        <w:t xml:space="preserve">ndesirables’ that painted </w:t>
      </w:r>
      <w:r w:rsidR="00B522E8">
        <w:rPr>
          <w:rFonts w:cstheme="minorHAnsi"/>
          <w:sz w:val="24"/>
          <w:szCs w:val="24"/>
        </w:rPr>
        <w:t>the Applicant as an ‘Undesirable’. The ‘U</w:t>
      </w:r>
      <w:r w:rsidR="00F42F05">
        <w:rPr>
          <w:rFonts w:cstheme="minorHAnsi"/>
          <w:sz w:val="24"/>
          <w:szCs w:val="24"/>
        </w:rPr>
        <w:t>ndesirables</w:t>
      </w:r>
      <w:r w:rsidR="00B522E8">
        <w:rPr>
          <w:rFonts w:cstheme="minorHAnsi"/>
          <w:sz w:val="24"/>
          <w:szCs w:val="24"/>
        </w:rPr>
        <w:t>’</w:t>
      </w:r>
      <w:r w:rsidR="00F42F05">
        <w:rPr>
          <w:rFonts w:cstheme="minorHAnsi"/>
          <w:sz w:val="24"/>
          <w:szCs w:val="24"/>
        </w:rPr>
        <w:t xml:space="preserve"> were Canadian citizens just like the Applicant.</w:t>
      </w:r>
      <w:r w:rsidR="00F42F05">
        <w:rPr>
          <w:rFonts w:cstheme="minorHAnsi"/>
          <w:b/>
          <w:sz w:val="28"/>
          <w:szCs w:val="28"/>
        </w:rPr>
        <w:t xml:space="preserve"> </w:t>
      </w:r>
    </w:p>
    <w:p w:rsidR="00F42F05" w:rsidRDefault="00F42F05" w:rsidP="00F42F05">
      <w:pPr>
        <w:rPr>
          <w:rFonts w:cstheme="minorHAnsi"/>
          <w:b/>
          <w:sz w:val="28"/>
          <w:szCs w:val="28"/>
        </w:rPr>
      </w:pPr>
    </w:p>
    <w:p w:rsidR="008C7089" w:rsidRPr="008A741B" w:rsidRDefault="008C7089" w:rsidP="00F42F05">
      <w:pPr>
        <w:rPr>
          <w:rFonts w:cstheme="minorHAnsi"/>
          <w:b/>
          <w:sz w:val="28"/>
          <w:szCs w:val="28"/>
        </w:rPr>
      </w:pPr>
      <w:r w:rsidRPr="008A741B">
        <w:rPr>
          <w:rFonts w:cstheme="minorHAnsi"/>
          <w:b/>
          <w:sz w:val="28"/>
          <w:szCs w:val="28"/>
        </w:rPr>
        <w:lastRenderedPageBreak/>
        <w:t xml:space="preserve">Legal implication of the actions of </w:t>
      </w:r>
      <w:r w:rsidR="00B30CA9" w:rsidRPr="008A741B">
        <w:rPr>
          <w:rFonts w:cstheme="minorHAnsi"/>
          <w:b/>
          <w:sz w:val="28"/>
          <w:szCs w:val="28"/>
        </w:rPr>
        <w:t>Counsel</w:t>
      </w:r>
    </w:p>
    <w:p w:rsidR="00670AD2" w:rsidRDefault="008C7089" w:rsidP="00C94ECF">
      <w:pPr>
        <w:pStyle w:val="ListParagraph"/>
        <w:numPr>
          <w:ilvl w:val="0"/>
          <w:numId w:val="2"/>
        </w:numPr>
        <w:ind w:hanging="720"/>
        <w:rPr>
          <w:rFonts w:cstheme="minorHAnsi"/>
          <w:sz w:val="24"/>
          <w:szCs w:val="24"/>
        </w:rPr>
      </w:pPr>
      <w:r w:rsidRPr="008C7089">
        <w:rPr>
          <w:rFonts w:cstheme="minorHAnsi"/>
          <w:sz w:val="24"/>
          <w:szCs w:val="24"/>
        </w:rPr>
        <w:t>Where Counsel makes false or erroneous submissions in the address to a jury, the judge must give corrections in the jury instruction.</w:t>
      </w:r>
      <w:r>
        <w:rPr>
          <w:rStyle w:val="FootnoteReference"/>
          <w:rFonts w:cstheme="minorHAnsi"/>
          <w:sz w:val="24"/>
          <w:szCs w:val="24"/>
        </w:rPr>
        <w:footnoteReference w:id="157"/>
      </w:r>
      <w:r w:rsidRPr="008C7089">
        <w:rPr>
          <w:rFonts w:cstheme="minorHAnsi"/>
          <w:sz w:val="24"/>
          <w:szCs w:val="24"/>
        </w:rPr>
        <w:t xml:space="preserve"> </w:t>
      </w:r>
    </w:p>
    <w:p w:rsidR="00985BDA" w:rsidRDefault="00985BDA" w:rsidP="00C94ECF">
      <w:pPr>
        <w:pStyle w:val="ListParagraph"/>
        <w:ind w:left="1440"/>
        <w:rPr>
          <w:rFonts w:cstheme="minorHAnsi"/>
          <w:i/>
          <w:sz w:val="24"/>
          <w:szCs w:val="24"/>
        </w:rPr>
      </w:pPr>
    </w:p>
    <w:p w:rsidR="00670AD2" w:rsidRPr="00FA265A" w:rsidRDefault="00670AD2" w:rsidP="00C94ECF">
      <w:pPr>
        <w:pStyle w:val="ListParagraph"/>
        <w:ind w:left="1440"/>
        <w:rPr>
          <w:rFonts w:cstheme="minorHAnsi"/>
          <w:i/>
          <w:sz w:val="24"/>
          <w:szCs w:val="24"/>
          <w:u w:val="single"/>
        </w:rPr>
      </w:pPr>
      <w:r w:rsidRPr="00FA265A">
        <w:rPr>
          <w:rFonts w:cstheme="minorHAnsi"/>
          <w:i/>
          <w:sz w:val="24"/>
          <w:szCs w:val="24"/>
          <w:u w:val="single"/>
        </w:rPr>
        <w:t>Prejudicial Remarks by Crown Counsel</w:t>
      </w:r>
    </w:p>
    <w:p w:rsidR="00FA265A" w:rsidRPr="00670AD2" w:rsidRDefault="00FA265A" w:rsidP="00C94ECF">
      <w:pPr>
        <w:pStyle w:val="ListParagraph"/>
        <w:ind w:left="1440"/>
        <w:rPr>
          <w:rFonts w:cstheme="minorHAnsi"/>
          <w:i/>
          <w:sz w:val="24"/>
          <w:szCs w:val="24"/>
        </w:rPr>
      </w:pPr>
    </w:p>
    <w:p w:rsidR="001F37B3" w:rsidRDefault="00670AD2" w:rsidP="00C94ECF">
      <w:pPr>
        <w:pStyle w:val="ListParagraph"/>
        <w:ind w:left="1440"/>
        <w:rPr>
          <w:rFonts w:cstheme="minorHAnsi"/>
          <w:i/>
          <w:sz w:val="24"/>
          <w:szCs w:val="24"/>
        </w:rPr>
      </w:pPr>
      <w:r w:rsidRPr="00670AD2">
        <w:rPr>
          <w:rFonts w:cstheme="minorHAnsi"/>
          <w:i/>
          <w:sz w:val="24"/>
          <w:szCs w:val="24"/>
        </w:rPr>
        <w:t>There are two basic questions which must be addressed in order to resolve this issue.  The first question is whether the trial judge erred in not commenting on the prejudicial remarks of Crown Counsel in his charge to the jury</w:t>
      </w:r>
      <w:r w:rsidR="001F37B3">
        <w:rPr>
          <w:rFonts w:cstheme="minorHAnsi"/>
          <w:i/>
          <w:sz w:val="24"/>
          <w:szCs w:val="24"/>
        </w:rPr>
        <w:t>…</w:t>
      </w:r>
    </w:p>
    <w:p w:rsidR="00670AD2" w:rsidRPr="00670AD2" w:rsidRDefault="00670AD2" w:rsidP="00C94ECF">
      <w:pPr>
        <w:pStyle w:val="ListParagraph"/>
        <w:ind w:left="1440"/>
        <w:rPr>
          <w:rFonts w:cstheme="minorHAnsi"/>
          <w:i/>
          <w:sz w:val="24"/>
          <w:szCs w:val="24"/>
        </w:rPr>
      </w:pPr>
      <w:r w:rsidRPr="00670AD2">
        <w:rPr>
          <w:rFonts w:cstheme="minorHAnsi"/>
          <w:i/>
          <w:sz w:val="24"/>
          <w:szCs w:val="24"/>
        </w:rPr>
        <w:t>[T]he remarks of Crown Counsel were prejudicial to a degree sufficient to impose a legal duty on the trial judge to comment and thus ensure that the position of the defense, in this case the appellant's alleged insanity at the time that Officer Aucoin was killed, was fairly put to the jury.  The failure of the trial judge to comment on Crown Counsel's improper remarks constituted an incorrect decision on a question of law.</w:t>
      </w:r>
    </w:p>
    <w:p w:rsidR="00670AD2" w:rsidRPr="00670AD2" w:rsidRDefault="00670AD2" w:rsidP="00C94ECF">
      <w:pPr>
        <w:pStyle w:val="ListParagraph"/>
        <w:ind w:left="1440"/>
        <w:rPr>
          <w:rFonts w:cstheme="minorHAnsi"/>
          <w:i/>
          <w:sz w:val="24"/>
          <w:szCs w:val="24"/>
        </w:rPr>
      </w:pPr>
      <w:r w:rsidRPr="00670AD2">
        <w:rPr>
          <w:rFonts w:cstheme="minorHAnsi"/>
          <w:i/>
          <w:sz w:val="24"/>
          <w:szCs w:val="24"/>
        </w:rPr>
        <w:t>I also share his view that no case has been made out for the application of s. 686(1</w:t>
      </w:r>
      <w:proofErr w:type="gramStart"/>
      <w:r w:rsidRPr="00670AD2">
        <w:rPr>
          <w:rFonts w:cstheme="minorHAnsi"/>
          <w:i/>
          <w:sz w:val="24"/>
          <w:szCs w:val="24"/>
        </w:rPr>
        <w:t>)(</w:t>
      </w:r>
      <w:proofErr w:type="gramEnd"/>
      <w:r w:rsidRPr="00670AD2">
        <w:rPr>
          <w:rFonts w:cstheme="minorHAnsi"/>
          <w:i/>
          <w:sz w:val="24"/>
          <w:szCs w:val="24"/>
        </w:rPr>
        <w:t>b)(iii) of the Criminal Code.  I would therefore allow the appeal and order a new trial.</w:t>
      </w:r>
    </w:p>
    <w:p w:rsidR="00670AD2" w:rsidRDefault="00670AD2" w:rsidP="008A741B">
      <w:pPr>
        <w:pStyle w:val="ListParagraph"/>
        <w:spacing w:line="240" w:lineRule="auto"/>
        <w:rPr>
          <w:rFonts w:cstheme="minorHAnsi"/>
          <w:sz w:val="24"/>
          <w:szCs w:val="24"/>
        </w:rPr>
      </w:pPr>
    </w:p>
    <w:p w:rsidR="008A741B" w:rsidRPr="008A741B" w:rsidRDefault="00670AD2" w:rsidP="008A741B">
      <w:pPr>
        <w:pStyle w:val="ListParagraph"/>
        <w:numPr>
          <w:ilvl w:val="0"/>
          <w:numId w:val="2"/>
        </w:numPr>
        <w:ind w:hanging="720"/>
        <w:rPr>
          <w:rFonts w:cstheme="minorHAnsi"/>
          <w:sz w:val="24"/>
          <w:szCs w:val="24"/>
        </w:rPr>
      </w:pPr>
      <w:r w:rsidRPr="00670AD2">
        <w:rPr>
          <w:rFonts w:cstheme="minorHAnsi"/>
          <w:sz w:val="24"/>
          <w:szCs w:val="24"/>
        </w:rPr>
        <w:t xml:space="preserve">The </w:t>
      </w:r>
      <w:r w:rsidR="00902709">
        <w:rPr>
          <w:rFonts w:cstheme="minorHAnsi"/>
          <w:sz w:val="24"/>
          <w:szCs w:val="24"/>
        </w:rPr>
        <w:t>Applicant</w:t>
      </w:r>
      <w:r w:rsidRPr="00670AD2">
        <w:rPr>
          <w:rFonts w:cstheme="minorHAnsi"/>
          <w:sz w:val="24"/>
          <w:szCs w:val="24"/>
        </w:rPr>
        <w:t xml:space="preserve"> on the other hand has drafted his closing submissions and reply solely on the evidence adduced at the hearing.</w:t>
      </w:r>
    </w:p>
    <w:p w:rsidR="00C35E69" w:rsidRDefault="00C35E69" w:rsidP="00C94ECF">
      <w:pPr>
        <w:rPr>
          <w:rFonts w:cstheme="minorHAnsi"/>
          <w:b/>
          <w:sz w:val="28"/>
          <w:szCs w:val="28"/>
        </w:rPr>
      </w:pPr>
    </w:p>
    <w:p w:rsidR="00995D7A" w:rsidRPr="008A741B" w:rsidRDefault="00C011DD" w:rsidP="00C94ECF">
      <w:pPr>
        <w:rPr>
          <w:rFonts w:cstheme="minorHAnsi"/>
          <w:sz w:val="28"/>
          <w:szCs w:val="28"/>
        </w:rPr>
      </w:pPr>
      <w:r w:rsidRPr="008A741B">
        <w:rPr>
          <w:rFonts w:cstheme="minorHAnsi"/>
          <w:b/>
          <w:sz w:val="28"/>
          <w:szCs w:val="28"/>
        </w:rPr>
        <w:t>Conclusion</w:t>
      </w:r>
    </w:p>
    <w:p w:rsidR="00C011DD" w:rsidRDefault="00C011DD" w:rsidP="008A741B">
      <w:pPr>
        <w:pStyle w:val="ListParagraph"/>
        <w:numPr>
          <w:ilvl w:val="0"/>
          <w:numId w:val="2"/>
        </w:numPr>
        <w:ind w:hanging="720"/>
        <w:rPr>
          <w:rFonts w:cstheme="minorHAnsi"/>
          <w:sz w:val="24"/>
          <w:szCs w:val="24"/>
        </w:rPr>
      </w:pPr>
      <w:r>
        <w:rPr>
          <w:rFonts w:cstheme="minorHAnsi"/>
          <w:sz w:val="24"/>
          <w:szCs w:val="24"/>
        </w:rPr>
        <w:t>Though this hearing was not about Performance Evaluations</w:t>
      </w:r>
      <w:r w:rsidR="00E610C9">
        <w:rPr>
          <w:rFonts w:cstheme="minorHAnsi"/>
          <w:sz w:val="24"/>
          <w:szCs w:val="24"/>
        </w:rPr>
        <w:t>,</w:t>
      </w:r>
      <w:r>
        <w:rPr>
          <w:rFonts w:cstheme="minorHAnsi"/>
          <w:sz w:val="24"/>
          <w:szCs w:val="24"/>
        </w:rPr>
        <w:t xml:space="preserve"> the decision to terminate the </w:t>
      </w:r>
      <w:r w:rsidR="008A741B">
        <w:rPr>
          <w:rFonts w:cstheme="minorHAnsi"/>
          <w:sz w:val="24"/>
          <w:szCs w:val="24"/>
        </w:rPr>
        <w:t>Applicant’s</w:t>
      </w:r>
      <w:r>
        <w:rPr>
          <w:rFonts w:cstheme="minorHAnsi"/>
          <w:sz w:val="24"/>
          <w:szCs w:val="24"/>
        </w:rPr>
        <w:t xml:space="preserve"> employment was based on his failure to meet the performance conduct guidelines of a probationary recruit. It was also supported </w:t>
      </w:r>
      <w:r w:rsidR="005D6572">
        <w:rPr>
          <w:rFonts w:cstheme="minorHAnsi"/>
          <w:sz w:val="24"/>
          <w:szCs w:val="24"/>
        </w:rPr>
        <w:t xml:space="preserve">by the </w:t>
      </w:r>
      <w:r w:rsidR="008A741B">
        <w:rPr>
          <w:rFonts w:cstheme="minorHAnsi"/>
          <w:sz w:val="24"/>
          <w:szCs w:val="24"/>
        </w:rPr>
        <w:t>Point Form C</w:t>
      </w:r>
      <w:r w:rsidR="005D6572">
        <w:rPr>
          <w:rFonts w:cstheme="minorHAnsi"/>
          <w:sz w:val="24"/>
          <w:szCs w:val="24"/>
        </w:rPr>
        <w:t xml:space="preserve">hronology of five key officers. It was further supported by the </w:t>
      </w:r>
      <w:r w:rsidR="005D6572" w:rsidRPr="00E610C9">
        <w:rPr>
          <w:rFonts w:cstheme="minorHAnsi"/>
          <w:i/>
          <w:sz w:val="24"/>
          <w:szCs w:val="24"/>
        </w:rPr>
        <w:t>Highway Traffic Act</w:t>
      </w:r>
      <w:r w:rsidR="005D6572">
        <w:rPr>
          <w:rFonts w:cstheme="minorHAnsi"/>
          <w:sz w:val="24"/>
          <w:szCs w:val="24"/>
        </w:rPr>
        <w:t xml:space="preserve"> charge against the </w:t>
      </w:r>
      <w:r w:rsidR="00902709">
        <w:rPr>
          <w:rFonts w:cstheme="minorHAnsi"/>
          <w:sz w:val="24"/>
          <w:szCs w:val="24"/>
        </w:rPr>
        <w:t>Applicant</w:t>
      </w:r>
      <w:r w:rsidR="005D6572">
        <w:rPr>
          <w:rFonts w:cstheme="minorHAnsi"/>
          <w:sz w:val="24"/>
          <w:szCs w:val="24"/>
        </w:rPr>
        <w:t>. Influencing all of this was the Professional Standards Bureau investigation regardless of its final disposition.</w:t>
      </w:r>
    </w:p>
    <w:p w:rsidR="008C7089" w:rsidRDefault="008C7089" w:rsidP="008A741B">
      <w:pPr>
        <w:pStyle w:val="ListParagraph"/>
        <w:spacing w:line="240" w:lineRule="auto"/>
        <w:rPr>
          <w:rFonts w:cstheme="minorHAnsi"/>
          <w:sz w:val="24"/>
          <w:szCs w:val="24"/>
        </w:rPr>
      </w:pPr>
    </w:p>
    <w:p w:rsidR="005D6572" w:rsidRDefault="005D6572" w:rsidP="00C94ECF">
      <w:pPr>
        <w:pStyle w:val="ListParagraph"/>
        <w:numPr>
          <w:ilvl w:val="0"/>
          <w:numId w:val="2"/>
        </w:numPr>
        <w:ind w:hanging="720"/>
        <w:rPr>
          <w:rFonts w:cstheme="minorHAnsi"/>
          <w:sz w:val="24"/>
          <w:szCs w:val="24"/>
        </w:rPr>
      </w:pPr>
      <w:r>
        <w:rPr>
          <w:rFonts w:cstheme="minorHAnsi"/>
          <w:sz w:val="24"/>
          <w:szCs w:val="24"/>
        </w:rPr>
        <w:t xml:space="preserve">The </w:t>
      </w:r>
      <w:r w:rsidRPr="00E610C9">
        <w:rPr>
          <w:rFonts w:cstheme="minorHAnsi"/>
          <w:i/>
          <w:sz w:val="24"/>
          <w:szCs w:val="24"/>
        </w:rPr>
        <w:t>HTA</w:t>
      </w:r>
      <w:r>
        <w:rPr>
          <w:rFonts w:cstheme="minorHAnsi"/>
          <w:sz w:val="24"/>
          <w:szCs w:val="24"/>
        </w:rPr>
        <w:t xml:space="preserve"> charge and the PSB investigation were dismissed and what was left was the </w:t>
      </w:r>
      <w:proofErr w:type="spellStart"/>
      <w:r>
        <w:rPr>
          <w:rFonts w:cstheme="minorHAnsi"/>
          <w:sz w:val="24"/>
          <w:szCs w:val="24"/>
        </w:rPr>
        <w:t>PERs.</w:t>
      </w:r>
      <w:proofErr w:type="spellEnd"/>
    </w:p>
    <w:p w:rsidR="008C7089" w:rsidRPr="008C7089" w:rsidRDefault="008C7089" w:rsidP="008A741B">
      <w:pPr>
        <w:pStyle w:val="ListParagraph"/>
        <w:spacing w:line="240" w:lineRule="auto"/>
        <w:rPr>
          <w:rFonts w:cstheme="minorHAnsi"/>
          <w:sz w:val="24"/>
          <w:szCs w:val="24"/>
        </w:rPr>
      </w:pPr>
    </w:p>
    <w:p w:rsidR="008C7089" w:rsidRPr="008C7089" w:rsidRDefault="005D6572" w:rsidP="00C94ECF">
      <w:pPr>
        <w:pStyle w:val="ListParagraph"/>
        <w:numPr>
          <w:ilvl w:val="0"/>
          <w:numId w:val="2"/>
        </w:numPr>
        <w:ind w:hanging="720"/>
        <w:rPr>
          <w:rFonts w:cstheme="minorHAnsi"/>
          <w:sz w:val="24"/>
          <w:szCs w:val="24"/>
        </w:rPr>
      </w:pPr>
      <w:r>
        <w:rPr>
          <w:rFonts w:cstheme="minorHAnsi"/>
          <w:sz w:val="24"/>
          <w:szCs w:val="24"/>
        </w:rPr>
        <w:t xml:space="preserve">Testimony from the witnesses did reveal that PERs 6/7, 8 and 9 to 11 were done from a subjective point of view. </w:t>
      </w:r>
    </w:p>
    <w:p w:rsidR="008C7089" w:rsidRDefault="008C7089" w:rsidP="008A741B">
      <w:pPr>
        <w:pStyle w:val="ListParagraph"/>
        <w:spacing w:line="240" w:lineRule="auto"/>
        <w:rPr>
          <w:rFonts w:cstheme="minorHAnsi"/>
          <w:sz w:val="24"/>
          <w:szCs w:val="24"/>
        </w:rPr>
      </w:pPr>
    </w:p>
    <w:p w:rsidR="005D6572" w:rsidRDefault="005D6572" w:rsidP="00C94ECF">
      <w:pPr>
        <w:pStyle w:val="ListParagraph"/>
        <w:numPr>
          <w:ilvl w:val="0"/>
          <w:numId w:val="2"/>
        </w:numPr>
        <w:ind w:hanging="720"/>
        <w:rPr>
          <w:rFonts w:cstheme="minorHAnsi"/>
          <w:sz w:val="24"/>
          <w:szCs w:val="24"/>
        </w:rPr>
      </w:pPr>
      <w:r>
        <w:rPr>
          <w:rFonts w:cstheme="minorHAnsi"/>
          <w:sz w:val="24"/>
          <w:szCs w:val="24"/>
        </w:rPr>
        <w:lastRenderedPageBreak/>
        <w:t xml:space="preserve">Ample documentary evidence has been introduced to establish discrimination of the </w:t>
      </w:r>
      <w:r w:rsidR="00902709">
        <w:rPr>
          <w:rFonts w:cstheme="minorHAnsi"/>
          <w:sz w:val="24"/>
          <w:szCs w:val="24"/>
        </w:rPr>
        <w:t>Applicant</w:t>
      </w:r>
      <w:r>
        <w:rPr>
          <w:rFonts w:cstheme="minorHAnsi"/>
          <w:sz w:val="24"/>
          <w:szCs w:val="24"/>
        </w:rPr>
        <w:t>s protected grounds of race, ancestry</w:t>
      </w:r>
      <w:r w:rsidR="00670AD2">
        <w:rPr>
          <w:rFonts w:cstheme="minorHAnsi"/>
          <w:sz w:val="24"/>
          <w:szCs w:val="24"/>
        </w:rPr>
        <w:t>,</w:t>
      </w:r>
      <w:r>
        <w:rPr>
          <w:rFonts w:cstheme="minorHAnsi"/>
          <w:sz w:val="24"/>
          <w:szCs w:val="24"/>
        </w:rPr>
        <w:t xml:space="preserve"> place of origin, place of ethnic origin, association</w:t>
      </w:r>
      <w:r w:rsidR="00670AD2">
        <w:rPr>
          <w:rFonts w:cstheme="minorHAnsi"/>
          <w:sz w:val="24"/>
          <w:szCs w:val="24"/>
        </w:rPr>
        <w:t>,</w:t>
      </w:r>
      <w:r>
        <w:rPr>
          <w:rFonts w:cstheme="minorHAnsi"/>
          <w:sz w:val="24"/>
          <w:szCs w:val="24"/>
        </w:rPr>
        <w:t xml:space="preserve"> all of which were in the area of employment.</w:t>
      </w:r>
    </w:p>
    <w:p w:rsidR="00AF6F9B" w:rsidRPr="00AF6F9B" w:rsidRDefault="00AF6F9B" w:rsidP="00AF6F9B">
      <w:pPr>
        <w:pStyle w:val="ListParagraph"/>
        <w:rPr>
          <w:rFonts w:cstheme="minorHAnsi"/>
          <w:sz w:val="24"/>
          <w:szCs w:val="24"/>
        </w:rPr>
      </w:pPr>
    </w:p>
    <w:p w:rsidR="005D6572" w:rsidRDefault="005D6572" w:rsidP="00C94ECF">
      <w:pPr>
        <w:pStyle w:val="ListParagraph"/>
        <w:numPr>
          <w:ilvl w:val="0"/>
          <w:numId w:val="2"/>
        </w:numPr>
        <w:ind w:hanging="720"/>
        <w:rPr>
          <w:rFonts w:cstheme="minorHAnsi"/>
          <w:sz w:val="24"/>
          <w:szCs w:val="24"/>
        </w:rPr>
      </w:pPr>
      <w:r>
        <w:rPr>
          <w:rFonts w:cstheme="minorHAnsi"/>
          <w:sz w:val="24"/>
          <w:szCs w:val="24"/>
        </w:rPr>
        <w:t xml:space="preserve">Most heinous is the use of a humanly derogatory term ‘Undesirables’ by the corporate </w:t>
      </w:r>
      <w:r w:rsidR="0023626C">
        <w:rPr>
          <w:rFonts w:cstheme="minorHAnsi"/>
          <w:sz w:val="24"/>
          <w:szCs w:val="24"/>
        </w:rPr>
        <w:t>Respondent</w:t>
      </w:r>
      <w:r>
        <w:rPr>
          <w:rFonts w:cstheme="minorHAnsi"/>
          <w:sz w:val="24"/>
          <w:szCs w:val="24"/>
        </w:rPr>
        <w:t xml:space="preserve"> towards Canadian citizens. </w:t>
      </w:r>
    </w:p>
    <w:p w:rsidR="008C7089" w:rsidRDefault="008C7089" w:rsidP="00435ABA">
      <w:pPr>
        <w:pStyle w:val="ListParagraph"/>
        <w:spacing w:line="240" w:lineRule="auto"/>
        <w:rPr>
          <w:rFonts w:cstheme="minorHAnsi"/>
          <w:sz w:val="24"/>
          <w:szCs w:val="24"/>
        </w:rPr>
      </w:pPr>
    </w:p>
    <w:p w:rsidR="005D6572" w:rsidRDefault="005D6572" w:rsidP="00C94ECF">
      <w:pPr>
        <w:pStyle w:val="ListParagraph"/>
        <w:numPr>
          <w:ilvl w:val="0"/>
          <w:numId w:val="2"/>
        </w:numPr>
        <w:ind w:hanging="720"/>
        <w:rPr>
          <w:rFonts w:cstheme="minorHAnsi"/>
          <w:sz w:val="24"/>
          <w:szCs w:val="24"/>
        </w:rPr>
      </w:pPr>
      <w:r>
        <w:rPr>
          <w:rFonts w:cstheme="minorHAnsi"/>
          <w:sz w:val="24"/>
          <w:szCs w:val="24"/>
        </w:rPr>
        <w:t xml:space="preserve">Many of those who testified acknowledged their own prejudices albeit </w:t>
      </w:r>
      <w:r w:rsidR="00B353E2">
        <w:rPr>
          <w:rFonts w:cstheme="minorHAnsi"/>
          <w:sz w:val="24"/>
          <w:szCs w:val="24"/>
        </w:rPr>
        <w:t>unconsciously</w:t>
      </w:r>
      <w:r>
        <w:rPr>
          <w:rFonts w:cstheme="minorHAnsi"/>
          <w:sz w:val="24"/>
          <w:szCs w:val="24"/>
        </w:rPr>
        <w:t>.</w:t>
      </w:r>
    </w:p>
    <w:p w:rsidR="008C7089" w:rsidRDefault="008C7089" w:rsidP="00435ABA">
      <w:pPr>
        <w:pStyle w:val="ListParagraph"/>
        <w:spacing w:line="240" w:lineRule="auto"/>
        <w:rPr>
          <w:rFonts w:cstheme="minorHAnsi"/>
          <w:sz w:val="24"/>
          <w:szCs w:val="24"/>
        </w:rPr>
      </w:pPr>
    </w:p>
    <w:p w:rsidR="00B353E2" w:rsidRDefault="00B353E2" w:rsidP="00C94ECF">
      <w:pPr>
        <w:pStyle w:val="ListParagraph"/>
        <w:numPr>
          <w:ilvl w:val="0"/>
          <w:numId w:val="2"/>
        </w:numPr>
        <w:ind w:hanging="720"/>
        <w:rPr>
          <w:rFonts w:cstheme="minorHAnsi"/>
          <w:sz w:val="24"/>
          <w:szCs w:val="24"/>
        </w:rPr>
      </w:pPr>
      <w:r>
        <w:rPr>
          <w:rFonts w:cstheme="minorHAnsi"/>
          <w:sz w:val="24"/>
          <w:szCs w:val="24"/>
        </w:rPr>
        <w:t>Acts of prejudice are act</w:t>
      </w:r>
      <w:r w:rsidR="00435ABA">
        <w:rPr>
          <w:rFonts w:cstheme="minorHAnsi"/>
          <w:sz w:val="24"/>
          <w:szCs w:val="24"/>
        </w:rPr>
        <w:t>s</w:t>
      </w:r>
      <w:r>
        <w:rPr>
          <w:rFonts w:cstheme="minorHAnsi"/>
          <w:sz w:val="24"/>
          <w:szCs w:val="24"/>
        </w:rPr>
        <w:t xml:space="preserve"> of racism.</w:t>
      </w:r>
    </w:p>
    <w:p w:rsidR="008C7089" w:rsidRDefault="008C7089" w:rsidP="00435ABA">
      <w:pPr>
        <w:pStyle w:val="ListParagraph"/>
        <w:spacing w:line="240" w:lineRule="auto"/>
        <w:rPr>
          <w:rFonts w:cstheme="minorHAnsi"/>
          <w:sz w:val="24"/>
          <w:szCs w:val="24"/>
        </w:rPr>
      </w:pPr>
    </w:p>
    <w:p w:rsidR="005D6572" w:rsidRDefault="00B353E2" w:rsidP="002877EA">
      <w:pPr>
        <w:pStyle w:val="ListParagraph"/>
        <w:numPr>
          <w:ilvl w:val="0"/>
          <w:numId w:val="2"/>
        </w:numPr>
        <w:ind w:hanging="720"/>
        <w:rPr>
          <w:rFonts w:cstheme="minorHAnsi"/>
          <w:sz w:val="24"/>
          <w:szCs w:val="24"/>
        </w:rPr>
      </w:pPr>
      <w:r>
        <w:rPr>
          <w:rFonts w:cstheme="minorHAnsi"/>
          <w:sz w:val="24"/>
          <w:szCs w:val="24"/>
        </w:rPr>
        <w:t xml:space="preserve">The only witness who did not </w:t>
      </w:r>
      <w:r w:rsidR="002877EA">
        <w:rPr>
          <w:rFonts w:cstheme="minorHAnsi"/>
          <w:sz w:val="24"/>
          <w:szCs w:val="24"/>
        </w:rPr>
        <w:t>appear to write e</w:t>
      </w:r>
      <w:r>
        <w:rPr>
          <w:rFonts w:cstheme="minorHAnsi"/>
          <w:sz w:val="24"/>
          <w:szCs w:val="24"/>
        </w:rPr>
        <w:t>valuation</w:t>
      </w:r>
      <w:r w:rsidR="002877EA">
        <w:rPr>
          <w:rFonts w:cstheme="minorHAnsi"/>
          <w:sz w:val="24"/>
          <w:szCs w:val="24"/>
        </w:rPr>
        <w:t>s</w:t>
      </w:r>
      <w:r>
        <w:rPr>
          <w:rFonts w:cstheme="minorHAnsi"/>
          <w:sz w:val="24"/>
          <w:szCs w:val="24"/>
        </w:rPr>
        <w:t xml:space="preserve"> from a subjective point of view was Filman. Though his name appears as the author of PER 6/7 and 8 evidence revealed it to be otherwise. Those prejudiced towards the </w:t>
      </w:r>
      <w:r w:rsidR="00902709">
        <w:rPr>
          <w:rFonts w:cstheme="minorHAnsi"/>
          <w:sz w:val="24"/>
          <w:szCs w:val="24"/>
        </w:rPr>
        <w:t>Applicant</w:t>
      </w:r>
      <w:r>
        <w:rPr>
          <w:rFonts w:cstheme="minorHAnsi"/>
          <w:sz w:val="24"/>
          <w:szCs w:val="24"/>
        </w:rPr>
        <w:t xml:space="preserve"> contributed in those two evaluations. Filman’s testimony revealed that the terminology used in the negative ratings areas of those two evaluations is not something that he would have used.</w:t>
      </w:r>
      <w:r>
        <w:rPr>
          <w:rStyle w:val="FootnoteReference"/>
          <w:rFonts w:cstheme="minorHAnsi"/>
          <w:sz w:val="24"/>
          <w:szCs w:val="24"/>
        </w:rPr>
        <w:footnoteReference w:id="158"/>
      </w:r>
      <w:r>
        <w:rPr>
          <w:rFonts w:cstheme="minorHAnsi"/>
          <w:sz w:val="24"/>
          <w:szCs w:val="24"/>
        </w:rPr>
        <w:t xml:space="preserve"> </w:t>
      </w:r>
    </w:p>
    <w:p w:rsidR="008C7089" w:rsidRDefault="008C7089" w:rsidP="00435ABA">
      <w:pPr>
        <w:pStyle w:val="ListParagraph"/>
        <w:spacing w:line="240" w:lineRule="auto"/>
        <w:rPr>
          <w:rFonts w:cstheme="minorHAnsi"/>
          <w:sz w:val="24"/>
          <w:szCs w:val="24"/>
        </w:rPr>
      </w:pPr>
    </w:p>
    <w:p w:rsidR="00B353E2" w:rsidRDefault="002877EA" w:rsidP="00076817">
      <w:pPr>
        <w:pStyle w:val="ListParagraph"/>
        <w:numPr>
          <w:ilvl w:val="0"/>
          <w:numId w:val="2"/>
        </w:numPr>
        <w:ind w:hanging="720"/>
        <w:rPr>
          <w:rFonts w:cstheme="minorHAnsi"/>
          <w:sz w:val="24"/>
          <w:szCs w:val="24"/>
        </w:rPr>
      </w:pPr>
      <w:r>
        <w:rPr>
          <w:rFonts w:cstheme="minorHAnsi"/>
          <w:sz w:val="24"/>
          <w:szCs w:val="24"/>
        </w:rPr>
        <w:t>I</w:t>
      </w:r>
      <w:r w:rsidR="00B353E2">
        <w:rPr>
          <w:rFonts w:cstheme="minorHAnsi"/>
          <w:sz w:val="24"/>
          <w:szCs w:val="24"/>
        </w:rPr>
        <w:t xml:space="preserve">f </w:t>
      </w:r>
      <w:r w:rsidR="00F30A18">
        <w:rPr>
          <w:rFonts w:cstheme="minorHAnsi"/>
          <w:sz w:val="24"/>
          <w:szCs w:val="24"/>
        </w:rPr>
        <w:t>Filman</w:t>
      </w:r>
      <w:r>
        <w:rPr>
          <w:rFonts w:cstheme="minorHAnsi"/>
          <w:sz w:val="24"/>
          <w:szCs w:val="24"/>
        </w:rPr>
        <w:t>,</w:t>
      </w:r>
      <w:r w:rsidR="00B353E2">
        <w:rPr>
          <w:rFonts w:cstheme="minorHAnsi"/>
          <w:sz w:val="24"/>
          <w:szCs w:val="24"/>
        </w:rPr>
        <w:t xml:space="preserve"> who truly authored PER 1 to 5</w:t>
      </w:r>
      <w:r>
        <w:rPr>
          <w:rFonts w:cstheme="minorHAnsi"/>
          <w:sz w:val="24"/>
          <w:szCs w:val="24"/>
        </w:rPr>
        <w:t>,</w:t>
      </w:r>
      <w:r w:rsidR="00B353E2">
        <w:rPr>
          <w:rFonts w:cstheme="minorHAnsi"/>
          <w:sz w:val="24"/>
          <w:szCs w:val="24"/>
        </w:rPr>
        <w:t xml:space="preserve"> would have </w:t>
      </w:r>
      <w:r>
        <w:rPr>
          <w:rFonts w:cstheme="minorHAnsi"/>
          <w:sz w:val="24"/>
          <w:szCs w:val="24"/>
        </w:rPr>
        <w:t xml:space="preserve">only </w:t>
      </w:r>
      <w:r w:rsidR="00B353E2">
        <w:rPr>
          <w:rFonts w:cstheme="minorHAnsi"/>
          <w:sz w:val="24"/>
          <w:szCs w:val="24"/>
        </w:rPr>
        <w:t xml:space="preserve">continued to coach the </w:t>
      </w:r>
      <w:r w:rsidR="00902709">
        <w:rPr>
          <w:rFonts w:cstheme="minorHAnsi"/>
          <w:sz w:val="24"/>
          <w:szCs w:val="24"/>
        </w:rPr>
        <w:t>Applicant</w:t>
      </w:r>
      <w:r w:rsidR="00076817">
        <w:rPr>
          <w:rFonts w:cstheme="minorHAnsi"/>
          <w:sz w:val="24"/>
          <w:szCs w:val="24"/>
        </w:rPr>
        <w:t>,</w:t>
      </w:r>
      <w:r w:rsidR="00B353E2">
        <w:rPr>
          <w:rFonts w:cstheme="minorHAnsi"/>
          <w:sz w:val="24"/>
          <w:szCs w:val="24"/>
        </w:rPr>
        <w:t xml:space="preserve"> </w:t>
      </w:r>
      <w:r w:rsidR="00670AD2">
        <w:rPr>
          <w:rFonts w:cstheme="minorHAnsi"/>
          <w:sz w:val="24"/>
          <w:szCs w:val="24"/>
        </w:rPr>
        <w:t xml:space="preserve">he </w:t>
      </w:r>
      <w:r w:rsidR="00B353E2">
        <w:rPr>
          <w:rFonts w:cstheme="minorHAnsi"/>
          <w:sz w:val="24"/>
          <w:szCs w:val="24"/>
        </w:rPr>
        <w:t xml:space="preserve">would have passed his probationary period and be well into a meaningful and fulling </w:t>
      </w:r>
      <w:r w:rsidR="00F30A18">
        <w:rPr>
          <w:rFonts w:cstheme="minorHAnsi"/>
          <w:sz w:val="24"/>
          <w:szCs w:val="24"/>
        </w:rPr>
        <w:t>career</w:t>
      </w:r>
      <w:r w:rsidR="00B353E2">
        <w:rPr>
          <w:rFonts w:cstheme="minorHAnsi"/>
          <w:sz w:val="24"/>
          <w:szCs w:val="24"/>
        </w:rPr>
        <w:t xml:space="preserve"> as a police officer. This </w:t>
      </w:r>
      <w:r w:rsidR="00F30A18">
        <w:rPr>
          <w:rFonts w:cstheme="minorHAnsi"/>
          <w:sz w:val="24"/>
          <w:szCs w:val="24"/>
        </w:rPr>
        <w:t>position</w:t>
      </w:r>
      <w:r w:rsidR="00B353E2">
        <w:rPr>
          <w:rFonts w:cstheme="minorHAnsi"/>
          <w:sz w:val="24"/>
          <w:szCs w:val="24"/>
        </w:rPr>
        <w:t xml:space="preserve"> can be gleaned from the fact that the </w:t>
      </w:r>
      <w:r w:rsidR="00902709">
        <w:rPr>
          <w:rFonts w:cstheme="minorHAnsi"/>
          <w:sz w:val="24"/>
          <w:szCs w:val="24"/>
        </w:rPr>
        <w:t>Applicant</w:t>
      </w:r>
      <w:r w:rsidR="00B353E2">
        <w:rPr>
          <w:rFonts w:cstheme="minorHAnsi"/>
          <w:sz w:val="24"/>
          <w:szCs w:val="24"/>
        </w:rPr>
        <w:t xml:space="preserve"> had </w:t>
      </w:r>
      <w:r w:rsidR="00076817">
        <w:rPr>
          <w:rFonts w:cstheme="minorHAnsi"/>
          <w:sz w:val="24"/>
          <w:szCs w:val="24"/>
        </w:rPr>
        <w:t>two</w:t>
      </w:r>
      <w:r w:rsidR="00B353E2">
        <w:rPr>
          <w:rFonts w:cstheme="minorHAnsi"/>
          <w:sz w:val="24"/>
          <w:szCs w:val="24"/>
        </w:rPr>
        <w:t xml:space="preserve"> negative rating</w:t>
      </w:r>
      <w:r w:rsidR="00670AD2">
        <w:rPr>
          <w:rFonts w:cstheme="minorHAnsi"/>
          <w:sz w:val="24"/>
          <w:szCs w:val="24"/>
        </w:rPr>
        <w:t>s</w:t>
      </w:r>
      <w:r w:rsidR="00985BDA">
        <w:rPr>
          <w:rFonts w:cstheme="minorHAnsi"/>
          <w:sz w:val="24"/>
          <w:szCs w:val="24"/>
        </w:rPr>
        <w:t xml:space="preserve"> </w:t>
      </w:r>
      <w:r w:rsidR="00B353E2">
        <w:rPr>
          <w:rFonts w:cstheme="minorHAnsi"/>
          <w:sz w:val="24"/>
          <w:szCs w:val="24"/>
        </w:rPr>
        <w:t xml:space="preserve">in his first PER and </w:t>
      </w:r>
      <w:r w:rsidR="00076817">
        <w:rPr>
          <w:rFonts w:cstheme="minorHAnsi"/>
          <w:sz w:val="24"/>
          <w:szCs w:val="24"/>
        </w:rPr>
        <w:t>one</w:t>
      </w:r>
      <w:r w:rsidR="00B353E2">
        <w:rPr>
          <w:rFonts w:cstheme="minorHAnsi"/>
          <w:sz w:val="24"/>
          <w:szCs w:val="24"/>
        </w:rPr>
        <w:t xml:space="preserve"> in his second PER</w:t>
      </w:r>
      <w:r w:rsidR="00435ABA">
        <w:rPr>
          <w:rFonts w:cstheme="minorHAnsi"/>
          <w:sz w:val="24"/>
          <w:szCs w:val="24"/>
        </w:rPr>
        <w:t>,</w:t>
      </w:r>
      <w:r w:rsidR="00B353E2">
        <w:rPr>
          <w:rFonts w:cstheme="minorHAnsi"/>
          <w:sz w:val="24"/>
          <w:szCs w:val="24"/>
        </w:rPr>
        <w:t xml:space="preserve"> but none in the successive three</w:t>
      </w:r>
      <w:r w:rsidR="00076817">
        <w:rPr>
          <w:rFonts w:cstheme="minorHAnsi"/>
          <w:sz w:val="24"/>
          <w:szCs w:val="24"/>
        </w:rPr>
        <w:t xml:space="preserve"> </w:t>
      </w:r>
      <w:proofErr w:type="spellStart"/>
      <w:r w:rsidR="00076817">
        <w:rPr>
          <w:rFonts w:cstheme="minorHAnsi"/>
          <w:sz w:val="24"/>
          <w:szCs w:val="24"/>
        </w:rPr>
        <w:t>PERs</w:t>
      </w:r>
      <w:r w:rsidR="00B353E2">
        <w:rPr>
          <w:rFonts w:cstheme="minorHAnsi"/>
          <w:sz w:val="24"/>
          <w:szCs w:val="24"/>
        </w:rPr>
        <w:t>.</w:t>
      </w:r>
      <w:proofErr w:type="spellEnd"/>
      <w:r w:rsidR="00B353E2">
        <w:rPr>
          <w:rFonts w:cstheme="minorHAnsi"/>
          <w:sz w:val="24"/>
          <w:szCs w:val="24"/>
        </w:rPr>
        <w:t xml:space="preserve"> Any </w:t>
      </w:r>
      <w:r w:rsidR="00F30A18">
        <w:rPr>
          <w:rFonts w:cstheme="minorHAnsi"/>
          <w:sz w:val="24"/>
          <w:szCs w:val="24"/>
        </w:rPr>
        <w:t>reasonable</w:t>
      </w:r>
      <w:r w:rsidR="00B353E2">
        <w:rPr>
          <w:rFonts w:cstheme="minorHAnsi"/>
          <w:sz w:val="24"/>
          <w:szCs w:val="24"/>
        </w:rPr>
        <w:t xml:space="preserve"> person would </w:t>
      </w:r>
      <w:r w:rsidR="00F30A18">
        <w:rPr>
          <w:rFonts w:cstheme="minorHAnsi"/>
          <w:sz w:val="24"/>
          <w:szCs w:val="24"/>
        </w:rPr>
        <w:t xml:space="preserve">conclude that the rest would have been the same without any significant issues. </w:t>
      </w:r>
    </w:p>
    <w:p w:rsidR="008C7089" w:rsidRDefault="008C7089" w:rsidP="00435ABA">
      <w:pPr>
        <w:pStyle w:val="ListParagraph"/>
        <w:spacing w:line="240" w:lineRule="auto"/>
        <w:rPr>
          <w:rFonts w:cstheme="minorHAnsi"/>
          <w:sz w:val="24"/>
          <w:szCs w:val="24"/>
        </w:rPr>
      </w:pPr>
    </w:p>
    <w:p w:rsidR="00F30A18" w:rsidRDefault="00F30A18" w:rsidP="00C94ECF">
      <w:pPr>
        <w:pStyle w:val="ListParagraph"/>
        <w:numPr>
          <w:ilvl w:val="0"/>
          <w:numId w:val="2"/>
        </w:numPr>
        <w:ind w:hanging="720"/>
        <w:rPr>
          <w:rFonts w:cstheme="minorHAnsi"/>
          <w:sz w:val="24"/>
          <w:szCs w:val="24"/>
        </w:rPr>
      </w:pPr>
      <w:r>
        <w:rPr>
          <w:rFonts w:cstheme="minorHAnsi"/>
          <w:sz w:val="24"/>
          <w:szCs w:val="24"/>
        </w:rPr>
        <w:t xml:space="preserve">However, the </w:t>
      </w:r>
      <w:r w:rsidR="00902709">
        <w:rPr>
          <w:rFonts w:cstheme="minorHAnsi"/>
          <w:sz w:val="24"/>
          <w:szCs w:val="24"/>
        </w:rPr>
        <w:t>Applicant</w:t>
      </w:r>
      <w:r>
        <w:rPr>
          <w:rFonts w:cstheme="minorHAnsi"/>
          <w:sz w:val="24"/>
          <w:szCs w:val="24"/>
        </w:rPr>
        <w:t xml:space="preserve"> was targeted from the very first day he arrived at </w:t>
      </w:r>
      <w:r w:rsidR="008C7089">
        <w:rPr>
          <w:rFonts w:cstheme="minorHAnsi"/>
          <w:sz w:val="24"/>
          <w:szCs w:val="24"/>
        </w:rPr>
        <w:t>Peterborough</w:t>
      </w:r>
      <w:r>
        <w:rPr>
          <w:rFonts w:cstheme="minorHAnsi"/>
          <w:sz w:val="24"/>
          <w:szCs w:val="24"/>
        </w:rPr>
        <w:t xml:space="preserve"> Detachment. Management directed that he be monitored.</w:t>
      </w:r>
      <w:r w:rsidR="002877EA">
        <w:rPr>
          <w:rStyle w:val="FootnoteReference"/>
          <w:rFonts w:cstheme="minorHAnsi"/>
          <w:sz w:val="24"/>
          <w:szCs w:val="24"/>
        </w:rPr>
        <w:footnoteReference w:id="159"/>
      </w:r>
      <w:r>
        <w:rPr>
          <w:rFonts w:cstheme="minorHAnsi"/>
          <w:sz w:val="24"/>
          <w:szCs w:val="24"/>
        </w:rPr>
        <w:t xml:space="preserve"> </w:t>
      </w:r>
    </w:p>
    <w:p w:rsidR="008C7089" w:rsidRDefault="008C7089" w:rsidP="00435ABA">
      <w:pPr>
        <w:pStyle w:val="ListParagraph"/>
        <w:spacing w:line="240" w:lineRule="auto"/>
        <w:rPr>
          <w:rFonts w:cstheme="minorHAnsi"/>
          <w:sz w:val="24"/>
          <w:szCs w:val="24"/>
        </w:rPr>
      </w:pPr>
    </w:p>
    <w:p w:rsidR="00F30A18" w:rsidRDefault="00F30A18" w:rsidP="00C94ECF">
      <w:pPr>
        <w:pStyle w:val="ListParagraph"/>
        <w:numPr>
          <w:ilvl w:val="0"/>
          <w:numId w:val="2"/>
        </w:numPr>
        <w:ind w:hanging="720"/>
        <w:rPr>
          <w:rFonts w:cstheme="minorHAnsi"/>
          <w:sz w:val="24"/>
          <w:szCs w:val="24"/>
        </w:rPr>
      </w:pPr>
      <w:r>
        <w:rPr>
          <w:rFonts w:cstheme="minorHAnsi"/>
          <w:sz w:val="24"/>
          <w:szCs w:val="24"/>
        </w:rPr>
        <w:t>The racial prejudice of Gravelle</w:t>
      </w:r>
      <w:r w:rsidR="00E610C9">
        <w:rPr>
          <w:rFonts w:cstheme="minorHAnsi"/>
          <w:sz w:val="24"/>
          <w:szCs w:val="24"/>
        </w:rPr>
        <w:t>, Rathbun (racially derogatory email)</w:t>
      </w:r>
      <w:r>
        <w:rPr>
          <w:rFonts w:cstheme="minorHAnsi"/>
          <w:sz w:val="24"/>
          <w:szCs w:val="24"/>
        </w:rPr>
        <w:t xml:space="preserve"> and Flindall very early on in the </w:t>
      </w:r>
      <w:r w:rsidR="00902709">
        <w:rPr>
          <w:rFonts w:cstheme="minorHAnsi"/>
          <w:sz w:val="24"/>
          <w:szCs w:val="24"/>
        </w:rPr>
        <w:t>Applicant</w:t>
      </w:r>
      <w:r>
        <w:rPr>
          <w:rFonts w:cstheme="minorHAnsi"/>
          <w:sz w:val="24"/>
          <w:szCs w:val="24"/>
        </w:rPr>
        <w:t xml:space="preserve">’s employment had a compounding effect </w:t>
      </w:r>
      <w:r w:rsidR="00E610C9">
        <w:rPr>
          <w:rFonts w:cstheme="minorHAnsi"/>
          <w:sz w:val="24"/>
          <w:szCs w:val="24"/>
        </w:rPr>
        <w:t>that</w:t>
      </w:r>
      <w:r>
        <w:rPr>
          <w:rFonts w:cstheme="minorHAnsi"/>
          <w:sz w:val="24"/>
          <w:szCs w:val="24"/>
        </w:rPr>
        <w:t xml:space="preserve"> poisoned the </w:t>
      </w:r>
      <w:r w:rsidR="00902709">
        <w:rPr>
          <w:rFonts w:cstheme="minorHAnsi"/>
          <w:sz w:val="24"/>
          <w:szCs w:val="24"/>
        </w:rPr>
        <w:t>Applicant</w:t>
      </w:r>
      <w:r>
        <w:rPr>
          <w:rFonts w:cstheme="minorHAnsi"/>
          <w:sz w:val="24"/>
          <w:szCs w:val="24"/>
        </w:rPr>
        <w:t>’s work environment. This prejudice increased in intensity as other</w:t>
      </w:r>
      <w:r w:rsidR="00670AD2">
        <w:rPr>
          <w:rFonts w:cstheme="minorHAnsi"/>
          <w:sz w:val="24"/>
          <w:szCs w:val="24"/>
        </w:rPr>
        <w:t>s</w:t>
      </w:r>
      <w:r>
        <w:rPr>
          <w:rFonts w:cstheme="minorHAnsi"/>
          <w:sz w:val="24"/>
          <w:szCs w:val="24"/>
        </w:rPr>
        <w:t xml:space="preserve"> felt it easy to </w:t>
      </w:r>
      <w:r w:rsidR="008C7089">
        <w:rPr>
          <w:rFonts w:cstheme="minorHAnsi"/>
          <w:sz w:val="24"/>
          <w:szCs w:val="24"/>
        </w:rPr>
        <w:t>violate</w:t>
      </w:r>
      <w:r>
        <w:rPr>
          <w:rFonts w:cstheme="minorHAnsi"/>
          <w:sz w:val="24"/>
          <w:szCs w:val="24"/>
        </w:rPr>
        <w:t xml:space="preserve"> the </w:t>
      </w:r>
      <w:r w:rsidR="00902709">
        <w:rPr>
          <w:rFonts w:cstheme="minorHAnsi"/>
          <w:sz w:val="24"/>
          <w:szCs w:val="24"/>
        </w:rPr>
        <w:t>Applicant</w:t>
      </w:r>
      <w:r>
        <w:rPr>
          <w:rFonts w:cstheme="minorHAnsi"/>
          <w:sz w:val="24"/>
          <w:szCs w:val="24"/>
        </w:rPr>
        <w:t xml:space="preserve">’s protected </w:t>
      </w:r>
      <w:r w:rsidR="008C7089">
        <w:rPr>
          <w:rFonts w:cstheme="minorHAnsi"/>
          <w:sz w:val="24"/>
          <w:szCs w:val="24"/>
        </w:rPr>
        <w:t>grounds</w:t>
      </w:r>
      <w:r>
        <w:rPr>
          <w:rFonts w:cstheme="minorHAnsi"/>
          <w:sz w:val="24"/>
          <w:szCs w:val="24"/>
        </w:rPr>
        <w:t xml:space="preserve">. </w:t>
      </w:r>
    </w:p>
    <w:p w:rsidR="008C7089" w:rsidRDefault="008C7089" w:rsidP="00C94ECF">
      <w:pPr>
        <w:pStyle w:val="ListParagraph"/>
        <w:rPr>
          <w:rFonts w:cstheme="minorHAnsi"/>
          <w:sz w:val="24"/>
          <w:szCs w:val="24"/>
        </w:rPr>
      </w:pPr>
    </w:p>
    <w:p w:rsidR="00F30A18" w:rsidRDefault="00F30A18" w:rsidP="00C94ECF">
      <w:pPr>
        <w:pStyle w:val="ListParagraph"/>
        <w:numPr>
          <w:ilvl w:val="0"/>
          <w:numId w:val="2"/>
        </w:numPr>
        <w:ind w:hanging="720"/>
        <w:rPr>
          <w:rFonts w:cstheme="minorHAnsi"/>
          <w:sz w:val="24"/>
          <w:szCs w:val="24"/>
        </w:rPr>
      </w:pPr>
      <w:r>
        <w:rPr>
          <w:rFonts w:cstheme="minorHAnsi"/>
          <w:sz w:val="24"/>
          <w:szCs w:val="24"/>
        </w:rPr>
        <w:t>Flindall</w:t>
      </w:r>
      <w:r w:rsidR="00670AD2">
        <w:rPr>
          <w:rFonts w:cstheme="minorHAnsi"/>
          <w:sz w:val="24"/>
          <w:szCs w:val="24"/>
        </w:rPr>
        <w:t>’s</w:t>
      </w:r>
      <w:r>
        <w:rPr>
          <w:rFonts w:cstheme="minorHAnsi"/>
          <w:sz w:val="24"/>
          <w:szCs w:val="24"/>
        </w:rPr>
        <w:t xml:space="preserve"> strong dislike of the </w:t>
      </w:r>
      <w:r w:rsidR="00902709">
        <w:rPr>
          <w:rFonts w:cstheme="minorHAnsi"/>
          <w:sz w:val="24"/>
          <w:szCs w:val="24"/>
        </w:rPr>
        <w:t>Applicant</w:t>
      </w:r>
      <w:r>
        <w:rPr>
          <w:rFonts w:cstheme="minorHAnsi"/>
          <w:sz w:val="24"/>
          <w:szCs w:val="24"/>
        </w:rPr>
        <w:t xml:space="preserve"> progressed to utter contempt and disdain towards him where he, rather than simply speaking to the </w:t>
      </w:r>
      <w:r w:rsidR="00902709">
        <w:rPr>
          <w:rFonts w:cstheme="minorHAnsi"/>
          <w:sz w:val="24"/>
          <w:szCs w:val="24"/>
        </w:rPr>
        <w:t>Applicant</w:t>
      </w:r>
      <w:r>
        <w:rPr>
          <w:rFonts w:cstheme="minorHAnsi"/>
          <w:sz w:val="24"/>
          <w:szCs w:val="24"/>
        </w:rPr>
        <w:t xml:space="preserve"> about a driving matter that he observed saw an opportunity to tarnish his record </w:t>
      </w:r>
      <w:r w:rsidR="00E610C9">
        <w:rPr>
          <w:rFonts w:cstheme="minorHAnsi"/>
          <w:sz w:val="24"/>
          <w:szCs w:val="24"/>
        </w:rPr>
        <w:t>and</w:t>
      </w:r>
      <w:r>
        <w:rPr>
          <w:rFonts w:cstheme="minorHAnsi"/>
          <w:sz w:val="24"/>
          <w:szCs w:val="24"/>
        </w:rPr>
        <w:t xml:space="preserve"> severely inhibit him from passing his probationary period.</w:t>
      </w:r>
    </w:p>
    <w:p w:rsidR="008C7089" w:rsidRDefault="008C7089" w:rsidP="00435ABA">
      <w:pPr>
        <w:pStyle w:val="ListParagraph"/>
        <w:spacing w:line="240" w:lineRule="auto"/>
        <w:rPr>
          <w:rFonts w:cstheme="minorHAnsi"/>
          <w:sz w:val="24"/>
          <w:szCs w:val="24"/>
        </w:rPr>
      </w:pPr>
    </w:p>
    <w:p w:rsidR="00F30A18" w:rsidRDefault="00F30A18" w:rsidP="00435ABA">
      <w:pPr>
        <w:pStyle w:val="ListParagraph"/>
        <w:numPr>
          <w:ilvl w:val="0"/>
          <w:numId w:val="2"/>
        </w:numPr>
        <w:ind w:hanging="720"/>
        <w:rPr>
          <w:rFonts w:cstheme="minorHAnsi"/>
          <w:sz w:val="24"/>
          <w:szCs w:val="24"/>
        </w:rPr>
      </w:pPr>
      <w:r>
        <w:rPr>
          <w:rFonts w:cstheme="minorHAnsi"/>
          <w:sz w:val="24"/>
          <w:szCs w:val="24"/>
        </w:rPr>
        <w:lastRenderedPageBreak/>
        <w:t xml:space="preserve">But that was not all. Having received </w:t>
      </w:r>
      <w:r w:rsidR="00435ABA">
        <w:rPr>
          <w:rFonts w:cstheme="minorHAnsi"/>
          <w:sz w:val="24"/>
          <w:szCs w:val="24"/>
        </w:rPr>
        <w:t>a</w:t>
      </w:r>
      <w:r>
        <w:rPr>
          <w:rFonts w:cstheme="minorHAnsi"/>
          <w:sz w:val="24"/>
          <w:szCs w:val="24"/>
        </w:rPr>
        <w:t xml:space="preserve"> negative 233-1</w:t>
      </w:r>
      <w:r w:rsidR="00435ABA">
        <w:rPr>
          <w:rFonts w:cstheme="minorHAnsi"/>
          <w:sz w:val="24"/>
          <w:szCs w:val="24"/>
        </w:rPr>
        <w:t>0</w:t>
      </w:r>
      <w:r>
        <w:rPr>
          <w:rFonts w:cstheme="minorHAnsi"/>
          <w:sz w:val="24"/>
          <w:szCs w:val="24"/>
        </w:rPr>
        <w:t xml:space="preserve"> from his supervisor regarding his deficiencies towards the </w:t>
      </w:r>
      <w:r w:rsidR="00902709">
        <w:rPr>
          <w:rFonts w:cstheme="minorHAnsi"/>
          <w:sz w:val="24"/>
          <w:szCs w:val="24"/>
        </w:rPr>
        <w:t>Applicant</w:t>
      </w:r>
      <w:r>
        <w:rPr>
          <w:rFonts w:cstheme="minorHAnsi"/>
          <w:sz w:val="24"/>
          <w:szCs w:val="24"/>
        </w:rPr>
        <w:t xml:space="preserve"> he lashed out with a final blow, the PSB complaint and subsequent investigation that</w:t>
      </w:r>
      <w:r w:rsidR="00E610C9">
        <w:rPr>
          <w:rFonts w:cstheme="minorHAnsi"/>
          <w:sz w:val="24"/>
          <w:szCs w:val="24"/>
        </w:rPr>
        <w:t xml:space="preserve"> commenced in August,</w:t>
      </w:r>
      <w:r>
        <w:rPr>
          <w:rFonts w:cstheme="minorHAnsi"/>
          <w:sz w:val="24"/>
          <w:szCs w:val="24"/>
        </w:rPr>
        <w:t xml:space="preserve"> though it turned out to be unsubstantiated</w:t>
      </w:r>
      <w:r w:rsidR="00E610C9">
        <w:rPr>
          <w:rFonts w:cstheme="minorHAnsi"/>
          <w:sz w:val="24"/>
          <w:szCs w:val="24"/>
        </w:rPr>
        <w:t>,</w:t>
      </w:r>
      <w:r>
        <w:rPr>
          <w:rFonts w:cstheme="minorHAnsi"/>
          <w:sz w:val="24"/>
          <w:szCs w:val="24"/>
        </w:rPr>
        <w:t xml:space="preserve"> was </w:t>
      </w:r>
      <w:r w:rsidR="008C7089">
        <w:rPr>
          <w:rFonts w:cstheme="minorHAnsi"/>
          <w:sz w:val="24"/>
          <w:szCs w:val="24"/>
        </w:rPr>
        <w:t>sufficient</w:t>
      </w:r>
      <w:r>
        <w:rPr>
          <w:rFonts w:cstheme="minorHAnsi"/>
          <w:sz w:val="24"/>
          <w:szCs w:val="24"/>
        </w:rPr>
        <w:t xml:space="preserve"> enough to seal his fate and turn the </w:t>
      </w:r>
      <w:r w:rsidR="00902709">
        <w:rPr>
          <w:rFonts w:cstheme="minorHAnsi"/>
          <w:sz w:val="24"/>
          <w:szCs w:val="24"/>
        </w:rPr>
        <w:t>Applicant</w:t>
      </w:r>
      <w:r>
        <w:rPr>
          <w:rFonts w:cstheme="minorHAnsi"/>
          <w:sz w:val="24"/>
          <w:szCs w:val="24"/>
        </w:rPr>
        <w:t xml:space="preserve"> over to the terminator.</w:t>
      </w:r>
    </w:p>
    <w:p w:rsidR="00AF6F9B" w:rsidRDefault="00AF6F9B" w:rsidP="00AF6F9B">
      <w:pPr>
        <w:pStyle w:val="ListParagraph"/>
        <w:rPr>
          <w:rFonts w:cstheme="minorHAnsi"/>
          <w:sz w:val="24"/>
          <w:szCs w:val="24"/>
        </w:rPr>
      </w:pPr>
    </w:p>
    <w:p w:rsidR="00F30A18" w:rsidRDefault="00F30A18" w:rsidP="00C94ECF">
      <w:pPr>
        <w:pStyle w:val="ListParagraph"/>
        <w:numPr>
          <w:ilvl w:val="0"/>
          <w:numId w:val="2"/>
        </w:numPr>
        <w:ind w:hanging="720"/>
        <w:rPr>
          <w:rFonts w:cstheme="minorHAnsi"/>
          <w:sz w:val="24"/>
          <w:szCs w:val="24"/>
        </w:rPr>
      </w:pPr>
      <w:r>
        <w:rPr>
          <w:rFonts w:cstheme="minorHAnsi"/>
          <w:sz w:val="24"/>
          <w:szCs w:val="24"/>
        </w:rPr>
        <w:t>The terminator being</w:t>
      </w:r>
      <w:r w:rsidR="00841F7F">
        <w:rPr>
          <w:rFonts w:cstheme="minorHAnsi"/>
          <w:sz w:val="24"/>
          <w:szCs w:val="24"/>
        </w:rPr>
        <w:t>,</w:t>
      </w:r>
      <w:r>
        <w:rPr>
          <w:rFonts w:cstheme="minorHAnsi"/>
          <w:sz w:val="24"/>
          <w:szCs w:val="24"/>
        </w:rPr>
        <w:t xml:space="preserve"> Richard Nie </w:t>
      </w:r>
      <w:r w:rsidR="00435ABA">
        <w:rPr>
          <w:rFonts w:cstheme="minorHAnsi"/>
          <w:sz w:val="24"/>
          <w:szCs w:val="24"/>
        </w:rPr>
        <w:t xml:space="preserve">(Flindall’s next-door neighbor) </w:t>
      </w:r>
      <w:r>
        <w:rPr>
          <w:rFonts w:cstheme="minorHAnsi"/>
          <w:sz w:val="24"/>
          <w:szCs w:val="24"/>
        </w:rPr>
        <w:t>who began a very thorough detail</w:t>
      </w:r>
      <w:r w:rsidR="00AF6F9B">
        <w:rPr>
          <w:rFonts w:cstheme="minorHAnsi"/>
          <w:sz w:val="24"/>
          <w:szCs w:val="24"/>
        </w:rPr>
        <w:t>ed</w:t>
      </w:r>
      <w:r>
        <w:rPr>
          <w:rFonts w:cstheme="minorHAnsi"/>
          <w:sz w:val="24"/>
          <w:szCs w:val="24"/>
        </w:rPr>
        <w:t xml:space="preserve"> documentation of the </w:t>
      </w:r>
      <w:r w:rsidR="00902709">
        <w:rPr>
          <w:rFonts w:cstheme="minorHAnsi"/>
          <w:sz w:val="24"/>
          <w:szCs w:val="24"/>
        </w:rPr>
        <w:t>Applicant</w:t>
      </w:r>
      <w:r>
        <w:rPr>
          <w:rFonts w:cstheme="minorHAnsi"/>
          <w:sz w:val="24"/>
          <w:szCs w:val="24"/>
        </w:rPr>
        <w:t xml:space="preserve"> </w:t>
      </w:r>
      <w:r w:rsidR="00670AD2">
        <w:rPr>
          <w:rFonts w:cstheme="minorHAnsi"/>
          <w:sz w:val="24"/>
          <w:szCs w:val="24"/>
        </w:rPr>
        <w:t xml:space="preserve">from </w:t>
      </w:r>
      <w:r>
        <w:rPr>
          <w:rFonts w:cstheme="minorHAnsi"/>
          <w:sz w:val="24"/>
          <w:szCs w:val="24"/>
        </w:rPr>
        <w:t xml:space="preserve">his very first hour </w:t>
      </w:r>
      <w:r w:rsidR="00841F7F">
        <w:rPr>
          <w:rFonts w:cstheme="minorHAnsi"/>
          <w:sz w:val="24"/>
          <w:szCs w:val="24"/>
        </w:rPr>
        <w:t xml:space="preserve">with </w:t>
      </w:r>
      <w:r>
        <w:rPr>
          <w:rFonts w:cstheme="minorHAnsi"/>
          <w:sz w:val="24"/>
          <w:szCs w:val="24"/>
        </w:rPr>
        <w:t xml:space="preserve">the </w:t>
      </w:r>
      <w:r w:rsidR="00902709">
        <w:rPr>
          <w:rFonts w:cstheme="minorHAnsi"/>
          <w:sz w:val="24"/>
          <w:szCs w:val="24"/>
        </w:rPr>
        <w:t>Applicant</w:t>
      </w:r>
      <w:r w:rsidR="00841F7F">
        <w:rPr>
          <w:rFonts w:cstheme="minorHAnsi"/>
          <w:sz w:val="24"/>
          <w:szCs w:val="24"/>
        </w:rPr>
        <w:t xml:space="preserve"> and throughout the remaining </w:t>
      </w:r>
      <w:r>
        <w:rPr>
          <w:rFonts w:cstheme="minorHAnsi"/>
          <w:sz w:val="24"/>
          <w:szCs w:val="24"/>
        </w:rPr>
        <w:t xml:space="preserve">three months of probation. </w:t>
      </w:r>
      <w:r w:rsidR="00ED7D8E">
        <w:rPr>
          <w:rFonts w:cstheme="minorHAnsi"/>
          <w:sz w:val="24"/>
          <w:szCs w:val="24"/>
        </w:rPr>
        <w:t>Nie</w:t>
      </w:r>
      <w:r w:rsidR="00435ABA">
        <w:rPr>
          <w:rFonts w:cstheme="minorHAnsi"/>
          <w:sz w:val="24"/>
          <w:szCs w:val="24"/>
        </w:rPr>
        <w:t xml:space="preserve"> began this documentation in a Point Form C</w:t>
      </w:r>
      <w:r w:rsidR="00ED7D8E">
        <w:rPr>
          <w:rFonts w:cstheme="minorHAnsi"/>
          <w:sz w:val="24"/>
          <w:szCs w:val="24"/>
        </w:rPr>
        <w:t xml:space="preserve">hronology that is only complied for one who is deemed to not pass probation or facing a possible termination of employment. </w:t>
      </w:r>
    </w:p>
    <w:p w:rsidR="008C7089" w:rsidRDefault="008C7089" w:rsidP="00D660DF">
      <w:pPr>
        <w:pStyle w:val="ListParagraph"/>
        <w:spacing w:line="240" w:lineRule="auto"/>
        <w:rPr>
          <w:rFonts w:cstheme="minorHAnsi"/>
          <w:sz w:val="24"/>
          <w:szCs w:val="24"/>
        </w:rPr>
      </w:pPr>
    </w:p>
    <w:p w:rsidR="00AF6F9B" w:rsidRPr="00AF6F9B" w:rsidRDefault="00AF6F9B" w:rsidP="00AF6F9B">
      <w:pPr>
        <w:pStyle w:val="ListParagraph"/>
        <w:numPr>
          <w:ilvl w:val="0"/>
          <w:numId w:val="2"/>
        </w:numPr>
        <w:ind w:hanging="720"/>
        <w:rPr>
          <w:rFonts w:cstheme="minorHAnsi"/>
          <w:sz w:val="24"/>
          <w:szCs w:val="24"/>
        </w:rPr>
      </w:pPr>
      <w:r w:rsidRPr="00AF6F9B">
        <w:rPr>
          <w:rFonts w:cstheme="minorHAnsi"/>
          <w:sz w:val="24"/>
          <w:szCs w:val="24"/>
        </w:rPr>
        <w:t>Conspiracy? Is there one? Well, keeping in mind paragraph 125 titled ‘</w:t>
      </w:r>
      <w:r w:rsidRPr="00AF6F9B">
        <w:rPr>
          <w:rFonts w:cstheme="minorHAnsi"/>
          <w:b/>
          <w:sz w:val="24"/>
          <w:szCs w:val="24"/>
        </w:rPr>
        <w:t>Tightly knit group of trusted associates having a controlling influence</w:t>
      </w:r>
      <w:r w:rsidR="00FE1275">
        <w:rPr>
          <w:rFonts w:cstheme="minorHAnsi"/>
          <w:sz w:val="24"/>
          <w:szCs w:val="24"/>
        </w:rPr>
        <w:t xml:space="preserve">’ in </w:t>
      </w:r>
      <w:r>
        <w:rPr>
          <w:rFonts w:cstheme="minorHAnsi"/>
          <w:sz w:val="24"/>
          <w:szCs w:val="24"/>
        </w:rPr>
        <w:t>his</w:t>
      </w:r>
      <w:r w:rsidRPr="00AF6F9B">
        <w:rPr>
          <w:rFonts w:cstheme="minorHAnsi"/>
          <w:sz w:val="24"/>
          <w:szCs w:val="24"/>
        </w:rPr>
        <w:t xml:space="preserve"> closing submissions, the Applicant will leave that assessment up to this Tribunal. What he knows is that he was mixed with dirt and robbed of a career in policing because he was an outsider at a detachment that did not welcome or take too kindly to outsiders, did not fit in and spoke English with a thick foreign accent that made others embarrassed to the point of asking him to speak with a Canadian accent. </w:t>
      </w:r>
    </w:p>
    <w:p w:rsidR="00985BDA" w:rsidRDefault="00985BDA" w:rsidP="00435ABA">
      <w:pPr>
        <w:pStyle w:val="ListParagraph"/>
        <w:spacing w:line="240" w:lineRule="auto"/>
        <w:rPr>
          <w:rFonts w:cstheme="minorHAnsi"/>
          <w:sz w:val="24"/>
          <w:szCs w:val="24"/>
        </w:rPr>
      </w:pPr>
    </w:p>
    <w:p w:rsidR="00321F63" w:rsidRDefault="00321F63" w:rsidP="00120D1F">
      <w:pPr>
        <w:pStyle w:val="ListParagraph"/>
        <w:numPr>
          <w:ilvl w:val="0"/>
          <w:numId w:val="2"/>
        </w:numPr>
        <w:ind w:hanging="720"/>
        <w:rPr>
          <w:rFonts w:cstheme="minorHAnsi"/>
          <w:sz w:val="24"/>
          <w:szCs w:val="24"/>
        </w:rPr>
      </w:pPr>
      <w:r>
        <w:rPr>
          <w:rFonts w:cstheme="minorHAnsi"/>
          <w:sz w:val="24"/>
          <w:szCs w:val="24"/>
        </w:rPr>
        <w:t xml:space="preserve">Much of what was heard and corroborated by documentary evidence was also heard with interest </w:t>
      </w:r>
      <w:r w:rsidR="00120D1F">
        <w:rPr>
          <w:rFonts w:cstheme="minorHAnsi"/>
          <w:sz w:val="24"/>
          <w:szCs w:val="24"/>
        </w:rPr>
        <w:t xml:space="preserve">by </w:t>
      </w:r>
      <w:r>
        <w:rPr>
          <w:rFonts w:cstheme="minorHAnsi"/>
          <w:sz w:val="24"/>
          <w:szCs w:val="24"/>
        </w:rPr>
        <w:t>his worship, Justice of the Peace C. Young during the HTA trial of the applicant.</w:t>
      </w:r>
      <w:r>
        <w:rPr>
          <w:rStyle w:val="FootnoteReference"/>
          <w:rFonts w:cstheme="minorHAnsi"/>
          <w:sz w:val="24"/>
          <w:szCs w:val="24"/>
        </w:rPr>
        <w:footnoteReference w:id="160"/>
      </w:r>
      <w:r>
        <w:rPr>
          <w:rFonts w:cstheme="minorHAnsi"/>
          <w:sz w:val="24"/>
          <w:szCs w:val="24"/>
        </w:rPr>
        <w:t xml:space="preserve"> </w:t>
      </w:r>
    </w:p>
    <w:p w:rsidR="00321F63" w:rsidRPr="00321F63" w:rsidRDefault="00321F63" w:rsidP="00321F63">
      <w:pPr>
        <w:pStyle w:val="ListParagraph"/>
        <w:rPr>
          <w:rFonts w:cstheme="minorHAnsi"/>
          <w:sz w:val="24"/>
          <w:szCs w:val="24"/>
        </w:rPr>
      </w:pPr>
    </w:p>
    <w:p w:rsidR="00321F63" w:rsidRDefault="00ED7D8E" w:rsidP="00B32313">
      <w:pPr>
        <w:pStyle w:val="ListParagraph"/>
        <w:numPr>
          <w:ilvl w:val="0"/>
          <w:numId w:val="2"/>
        </w:numPr>
        <w:ind w:hanging="720"/>
        <w:rPr>
          <w:rFonts w:cstheme="minorHAnsi"/>
          <w:sz w:val="24"/>
          <w:szCs w:val="24"/>
        </w:rPr>
      </w:pPr>
      <w:r w:rsidRPr="00841F7F">
        <w:rPr>
          <w:rFonts w:cstheme="minorHAnsi"/>
          <w:sz w:val="24"/>
          <w:szCs w:val="24"/>
        </w:rPr>
        <w:t xml:space="preserve">The Ontario Provincial Police treated him like trash, snuffed him out like one grinding out a </w:t>
      </w:r>
      <w:r w:rsidR="008C7089" w:rsidRPr="00841F7F">
        <w:rPr>
          <w:rFonts w:cstheme="minorHAnsi"/>
          <w:sz w:val="24"/>
          <w:szCs w:val="24"/>
        </w:rPr>
        <w:t>cigarette</w:t>
      </w:r>
      <w:r w:rsidRPr="00841F7F">
        <w:rPr>
          <w:rFonts w:cstheme="minorHAnsi"/>
          <w:sz w:val="24"/>
          <w:szCs w:val="24"/>
        </w:rPr>
        <w:t xml:space="preserve"> butt in the dirt, brought him down to his knees and executed him.</w:t>
      </w:r>
    </w:p>
    <w:p w:rsidR="00321F63" w:rsidRPr="00321F63" w:rsidRDefault="00321F63" w:rsidP="00321F63">
      <w:pPr>
        <w:pStyle w:val="ListParagraph"/>
        <w:rPr>
          <w:rFonts w:cstheme="minorHAnsi"/>
          <w:sz w:val="24"/>
          <w:szCs w:val="24"/>
        </w:rPr>
      </w:pPr>
    </w:p>
    <w:p w:rsidR="00435ABA" w:rsidRPr="00841F7F" w:rsidRDefault="00ED7D8E" w:rsidP="00435ABA">
      <w:pPr>
        <w:pStyle w:val="ListParagraph"/>
        <w:numPr>
          <w:ilvl w:val="0"/>
          <w:numId w:val="2"/>
        </w:numPr>
        <w:ind w:hanging="720"/>
        <w:rPr>
          <w:rFonts w:cstheme="minorHAnsi"/>
          <w:sz w:val="24"/>
          <w:szCs w:val="24"/>
        </w:rPr>
      </w:pPr>
      <w:r w:rsidRPr="00841F7F">
        <w:rPr>
          <w:rFonts w:cstheme="minorHAnsi"/>
          <w:sz w:val="24"/>
          <w:szCs w:val="24"/>
        </w:rPr>
        <w:t xml:space="preserve">He came to the OPP a very healthy and highly educated individual and left with Post Traumatic </w:t>
      </w:r>
      <w:r w:rsidR="00435ABA" w:rsidRPr="00841F7F">
        <w:rPr>
          <w:rFonts w:cstheme="minorHAnsi"/>
          <w:sz w:val="24"/>
          <w:szCs w:val="24"/>
        </w:rPr>
        <w:t xml:space="preserve">Stress </w:t>
      </w:r>
      <w:r w:rsidRPr="00841F7F">
        <w:rPr>
          <w:rFonts w:cstheme="minorHAnsi"/>
          <w:sz w:val="24"/>
          <w:szCs w:val="24"/>
        </w:rPr>
        <w:t>Disorder (PTSD) and feeling like a basket case. The effects of this PTSD left him contemplating suicide.</w:t>
      </w:r>
      <w:r w:rsidR="008C7089" w:rsidRPr="00841F7F">
        <w:rPr>
          <w:rFonts w:cstheme="minorHAnsi"/>
          <w:sz w:val="24"/>
          <w:szCs w:val="24"/>
        </w:rPr>
        <w:t xml:space="preserve"> </w:t>
      </w:r>
    </w:p>
    <w:p w:rsidR="00435ABA" w:rsidRPr="00D660DF" w:rsidRDefault="00435ABA" w:rsidP="00B32313">
      <w:pPr>
        <w:pStyle w:val="ListParagraph"/>
        <w:spacing w:line="240" w:lineRule="auto"/>
        <w:rPr>
          <w:rFonts w:cstheme="minorHAnsi"/>
          <w:sz w:val="24"/>
          <w:szCs w:val="24"/>
          <w:highlight w:val="yellow"/>
        </w:rPr>
      </w:pPr>
    </w:p>
    <w:p w:rsidR="00B32313" w:rsidRPr="00841F7F" w:rsidRDefault="00B32313" w:rsidP="00B32313">
      <w:pPr>
        <w:pStyle w:val="ListParagraph"/>
        <w:numPr>
          <w:ilvl w:val="0"/>
          <w:numId w:val="2"/>
        </w:numPr>
        <w:ind w:hanging="720"/>
        <w:rPr>
          <w:rFonts w:cstheme="minorHAnsi"/>
          <w:sz w:val="24"/>
          <w:szCs w:val="24"/>
        </w:rPr>
      </w:pPr>
      <w:r w:rsidRPr="00841F7F">
        <w:rPr>
          <w:rFonts w:cstheme="minorHAnsi"/>
          <w:sz w:val="24"/>
          <w:szCs w:val="24"/>
        </w:rPr>
        <w:t xml:space="preserve">The OPP did blackball him to the point he was unable to get gainful employment with any other police service due to his termination prior to completing his probationary period. </w:t>
      </w:r>
    </w:p>
    <w:p w:rsidR="00B32313" w:rsidRPr="00D660DF" w:rsidRDefault="00B32313" w:rsidP="00B32313">
      <w:pPr>
        <w:pStyle w:val="ListParagraph"/>
        <w:spacing w:line="240" w:lineRule="auto"/>
        <w:rPr>
          <w:rFonts w:cstheme="minorHAnsi"/>
          <w:sz w:val="24"/>
          <w:szCs w:val="24"/>
          <w:highlight w:val="yellow"/>
        </w:rPr>
      </w:pPr>
    </w:p>
    <w:p w:rsidR="00ED7D8E" w:rsidRPr="00841F7F" w:rsidRDefault="00B32313" w:rsidP="00B32313">
      <w:pPr>
        <w:pStyle w:val="ListParagraph"/>
        <w:numPr>
          <w:ilvl w:val="0"/>
          <w:numId w:val="2"/>
        </w:numPr>
        <w:spacing w:line="240" w:lineRule="auto"/>
        <w:ind w:hanging="720"/>
        <w:rPr>
          <w:rFonts w:cstheme="minorHAnsi"/>
          <w:sz w:val="24"/>
          <w:szCs w:val="24"/>
        </w:rPr>
      </w:pPr>
      <w:r w:rsidRPr="00841F7F">
        <w:rPr>
          <w:rFonts w:cstheme="minorHAnsi"/>
          <w:sz w:val="24"/>
          <w:szCs w:val="24"/>
        </w:rPr>
        <w:t xml:space="preserve">Seven months after </w:t>
      </w:r>
      <w:r w:rsidR="00435ABA" w:rsidRPr="00841F7F">
        <w:rPr>
          <w:rFonts w:cstheme="minorHAnsi"/>
          <w:sz w:val="24"/>
          <w:szCs w:val="24"/>
        </w:rPr>
        <w:t>his termination</w:t>
      </w:r>
      <w:r w:rsidR="00841F7F" w:rsidRPr="00841F7F">
        <w:rPr>
          <w:rFonts w:cstheme="minorHAnsi"/>
          <w:sz w:val="24"/>
          <w:szCs w:val="24"/>
        </w:rPr>
        <w:t xml:space="preserve"> and</w:t>
      </w:r>
      <w:r w:rsidR="00435ABA" w:rsidRPr="00841F7F">
        <w:rPr>
          <w:rFonts w:cstheme="minorHAnsi"/>
          <w:sz w:val="24"/>
          <w:szCs w:val="24"/>
        </w:rPr>
        <w:t xml:space="preserve"> </w:t>
      </w:r>
      <w:r w:rsidRPr="00841F7F">
        <w:rPr>
          <w:rFonts w:cstheme="minorHAnsi"/>
          <w:sz w:val="24"/>
          <w:szCs w:val="24"/>
        </w:rPr>
        <w:t>still being unable to find an employment and totally devastated h</w:t>
      </w:r>
      <w:r w:rsidR="00ED7D8E" w:rsidRPr="00841F7F">
        <w:rPr>
          <w:rFonts w:cstheme="minorHAnsi"/>
          <w:sz w:val="24"/>
          <w:szCs w:val="24"/>
        </w:rPr>
        <w:t>e turned to</w:t>
      </w:r>
      <w:r w:rsidR="00435ABA" w:rsidRPr="00841F7F">
        <w:rPr>
          <w:rFonts w:cstheme="minorHAnsi"/>
          <w:sz w:val="24"/>
          <w:szCs w:val="24"/>
        </w:rPr>
        <w:t xml:space="preserve"> alcohol, antidepressants, sleeping pills and </w:t>
      </w:r>
      <w:r w:rsidRPr="00841F7F">
        <w:rPr>
          <w:rFonts w:cstheme="minorHAnsi"/>
          <w:sz w:val="24"/>
          <w:szCs w:val="24"/>
        </w:rPr>
        <w:t xml:space="preserve">cigarettes </w:t>
      </w:r>
      <w:r w:rsidR="00ED7D8E" w:rsidRPr="00841F7F">
        <w:rPr>
          <w:rFonts w:cstheme="minorHAnsi"/>
          <w:sz w:val="24"/>
          <w:szCs w:val="24"/>
        </w:rPr>
        <w:t xml:space="preserve">to quell his feelings. </w:t>
      </w:r>
    </w:p>
    <w:p w:rsidR="00435ABA" w:rsidRPr="00D660DF" w:rsidRDefault="00435ABA" w:rsidP="00B32313">
      <w:pPr>
        <w:pStyle w:val="ListParagraph"/>
        <w:spacing w:line="240" w:lineRule="auto"/>
        <w:rPr>
          <w:rFonts w:cstheme="minorHAnsi"/>
          <w:sz w:val="24"/>
          <w:szCs w:val="24"/>
          <w:highlight w:val="yellow"/>
        </w:rPr>
      </w:pPr>
    </w:p>
    <w:p w:rsidR="00435ABA" w:rsidRPr="00841F7F" w:rsidRDefault="00B32313" w:rsidP="00B32313">
      <w:pPr>
        <w:pStyle w:val="ListParagraph"/>
        <w:numPr>
          <w:ilvl w:val="0"/>
          <w:numId w:val="2"/>
        </w:numPr>
        <w:ind w:hanging="720"/>
        <w:rPr>
          <w:rFonts w:cstheme="minorHAnsi"/>
          <w:sz w:val="24"/>
          <w:szCs w:val="24"/>
        </w:rPr>
      </w:pPr>
      <w:r w:rsidRPr="00841F7F">
        <w:rPr>
          <w:rFonts w:cstheme="minorHAnsi"/>
          <w:sz w:val="24"/>
          <w:szCs w:val="24"/>
        </w:rPr>
        <w:t>He started to frequently think of loading one of his handguns from his collection, putting it to his head and pulling the trigger.</w:t>
      </w:r>
    </w:p>
    <w:p w:rsidR="00B32313" w:rsidRDefault="00B32313" w:rsidP="00B32313">
      <w:pPr>
        <w:pStyle w:val="ListParagraph"/>
        <w:numPr>
          <w:ilvl w:val="0"/>
          <w:numId w:val="2"/>
        </w:numPr>
        <w:ind w:hanging="720"/>
        <w:rPr>
          <w:rFonts w:cstheme="minorHAnsi"/>
          <w:sz w:val="24"/>
          <w:szCs w:val="24"/>
        </w:rPr>
      </w:pPr>
      <w:r w:rsidRPr="00841F7F">
        <w:rPr>
          <w:rFonts w:cstheme="minorHAnsi"/>
          <w:sz w:val="24"/>
          <w:szCs w:val="24"/>
        </w:rPr>
        <w:lastRenderedPageBreak/>
        <w:t>He documented his feelings in a diary.</w:t>
      </w:r>
    </w:p>
    <w:p w:rsidR="002454C9" w:rsidRPr="00841F7F" w:rsidRDefault="002454C9" w:rsidP="002454C9">
      <w:pPr>
        <w:pStyle w:val="ListParagraph"/>
        <w:rPr>
          <w:rFonts w:cstheme="minorHAnsi"/>
          <w:sz w:val="24"/>
          <w:szCs w:val="24"/>
        </w:rPr>
      </w:pPr>
    </w:p>
    <w:p w:rsidR="00ED7D8E" w:rsidRPr="00B32313" w:rsidRDefault="00ED7D8E" w:rsidP="00B32313">
      <w:pPr>
        <w:pStyle w:val="ListParagraph"/>
        <w:numPr>
          <w:ilvl w:val="0"/>
          <w:numId w:val="2"/>
        </w:numPr>
        <w:ind w:hanging="720"/>
        <w:rPr>
          <w:rFonts w:cstheme="minorHAnsi"/>
          <w:sz w:val="24"/>
          <w:szCs w:val="24"/>
        </w:rPr>
      </w:pPr>
      <w:r w:rsidRPr="00B32313">
        <w:rPr>
          <w:rFonts w:cstheme="minorHAnsi"/>
          <w:sz w:val="24"/>
          <w:szCs w:val="24"/>
        </w:rPr>
        <w:t xml:space="preserve">He </w:t>
      </w:r>
      <w:r w:rsidR="008C7089" w:rsidRPr="00B32313">
        <w:rPr>
          <w:rFonts w:cstheme="minorHAnsi"/>
          <w:sz w:val="24"/>
          <w:szCs w:val="24"/>
        </w:rPr>
        <w:t>came</w:t>
      </w:r>
      <w:r w:rsidRPr="00B32313">
        <w:rPr>
          <w:rFonts w:cstheme="minorHAnsi"/>
          <w:sz w:val="24"/>
          <w:szCs w:val="24"/>
        </w:rPr>
        <w:t xml:space="preserve"> to </w:t>
      </w:r>
      <w:r w:rsidR="008C7089" w:rsidRPr="00B32313">
        <w:rPr>
          <w:rFonts w:cstheme="minorHAnsi"/>
          <w:sz w:val="24"/>
          <w:szCs w:val="24"/>
        </w:rPr>
        <w:t>Canada</w:t>
      </w:r>
      <w:r w:rsidRPr="00B32313">
        <w:rPr>
          <w:rFonts w:cstheme="minorHAnsi"/>
          <w:sz w:val="24"/>
          <w:szCs w:val="24"/>
        </w:rPr>
        <w:t xml:space="preserve"> with literally a </w:t>
      </w:r>
      <w:r w:rsidR="008C7089" w:rsidRPr="00B32313">
        <w:rPr>
          <w:rFonts w:cstheme="minorHAnsi"/>
          <w:sz w:val="24"/>
          <w:szCs w:val="24"/>
        </w:rPr>
        <w:t>suitcase</w:t>
      </w:r>
      <w:r w:rsidRPr="00B32313">
        <w:rPr>
          <w:rFonts w:cstheme="minorHAnsi"/>
          <w:sz w:val="24"/>
          <w:szCs w:val="24"/>
        </w:rPr>
        <w:t xml:space="preserve"> in hand and left Canada with a suitcase.</w:t>
      </w:r>
    </w:p>
    <w:p w:rsidR="008D7409" w:rsidRDefault="008D7409" w:rsidP="00B32313">
      <w:pPr>
        <w:pStyle w:val="ListParagraph"/>
        <w:spacing w:line="240" w:lineRule="auto"/>
        <w:rPr>
          <w:rFonts w:cstheme="minorHAnsi"/>
          <w:sz w:val="24"/>
          <w:szCs w:val="24"/>
        </w:rPr>
      </w:pPr>
    </w:p>
    <w:p w:rsidR="00ED7D8E" w:rsidRDefault="00ED7D8E" w:rsidP="00C94ECF">
      <w:pPr>
        <w:pStyle w:val="ListParagraph"/>
        <w:numPr>
          <w:ilvl w:val="0"/>
          <w:numId w:val="2"/>
        </w:numPr>
        <w:ind w:hanging="720"/>
        <w:rPr>
          <w:rFonts w:cstheme="minorHAnsi"/>
          <w:sz w:val="24"/>
          <w:szCs w:val="24"/>
        </w:rPr>
      </w:pPr>
      <w:r>
        <w:rPr>
          <w:rFonts w:cstheme="minorHAnsi"/>
          <w:sz w:val="24"/>
          <w:szCs w:val="24"/>
        </w:rPr>
        <w:t xml:space="preserve">But prior to leaving he met a </w:t>
      </w:r>
      <w:r w:rsidR="008C7089">
        <w:rPr>
          <w:rFonts w:cstheme="minorHAnsi"/>
          <w:sz w:val="24"/>
          <w:szCs w:val="24"/>
        </w:rPr>
        <w:t>friend</w:t>
      </w:r>
      <w:r>
        <w:rPr>
          <w:rFonts w:cstheme="minorHAnsi"/>
          <w:sz w:val="24"/>
          <w:szCs w:val="24"/>
        </w:rPr>
        <w:t xml:space="preserve"> who gave him inspiration and stuck with him till the end. T</w:t>
      </w:r>
      <w:r w:rsidR="00C35E69">
        <w:rPr>
          <w:rFonts w:cstheme="minorHAnsi"/>
          <w:sz w:val="24"/>
          <w:szCs w:val="24"/>
        </w:rPr>
        <w:t>ogether, these two ordinary people and without any legal qualifications pursued j</w:t>
      </w:r>
      <w:r>
        <w:rPr>
          <w:rFonts w:cstheme="minorHAnsi"/>
          <w:sz w:val="24"/>
          <w:szCs w:val="24"/>
        </w:rPr>
        <w:t xml:space="preserve">ustice on their own. </w:t>
      </w:r>
    </w:p>
    <w:p w:rsidR="008C7089" w:rsidRDefault="008C7089" w:rsidP="00B32313">
      <w:pPr>
        <w:pStyle w:val="ListParagraph"/>
        <w:spacing w:line="240" w:lineRule="auto"/>
        <w:rPr>
          <w:rFonts w:cstheme="minorHAnsi"/>
          <w:sz w:val="24"/>
          <w:szCs w:val="24"/>
        </w:rPr>
      </w:pPr>
    </w:p>
    <w:p w:rsidR="001F37B3" w:rsidRPr="001F37B3" w:rsidRDefault="001F37B3" w:rsidP="00B32313">
      <w:pPr>
        <w:pStyle w:val="ListParagraph"/>
        <w:spacing w:line="240" w:lineRule="auto"/>
        <w:rPr>
          <w:rFonts w:cstheme="minorHAnsi"/>
          <w:sz w:val="24"/>
          <w:szCs w:val="24"/>
        </w:rPr>
      </w:pPr>
    </w:p>
    <w:p w:rsidR="001F37B3" w:rsidRDefault="001F37B3" w:rsidP="00C94ECF">
      <w:pPr>
        <w:pStyle w:val="ListParagraph"/>
        <w:shd w:val="clear" w:color="auto" w:fill="FFFFFF"/>
        <w:spacing w:after="0"/>
        <w:ind w:left="0"/>
        <w:rPr>
          <w:rFonts w:cstheme="minorHAnsi"/>
          <w:sz w:val="24"/>
          <w:szCs w:val="24"/>
        </w:rPr>
      </w:pPr>
      <w:r>
        <w:rPr>
          <w:rFonts w:cstheme="minorHAnsi"/>
          <w:sz w:val="24"/>
          <w:szCs w:val="24"/>
        </w:rPr>
        <w:t xml:space="preserve">Respectfully submitted this </w:t>
      </w:r>
      <w:r w:rsidR="00E5517B">
        <w:rPr>
          <w:rFonts w:cstheme="minorHAnsi"/>
          <w:sz w:val="24"/>
          <w:szCs w:val="24"/>
        </w:rPr>
        <w:t>6</w:t>
      </w:r>
      <w:r w:rsidRPr="001F37B3">
        <w:rPr>
          <w:rFonts w:cstheme="minorHAnsi"/>
          <w:sz w:val="24"/>
          <w:szCs w:val="24"/>
          <w:vertAlign w:val="superscript"/>
        </w:rPr>
        <w:t>th</w:t>
      </w:r>
      <w:r>
        <w:rPr>
          <w:rFonts w:cstheme="minorHAnsi"/>
          <w:sz w:val="24"/>
          <w:szCs w:val="24"/>
        </w:rPr>
        <w:t xml:space="preserve"> day of March, 2017</w:t>
      </w:r>
    </w:p>
    <w:p w:rsidR="00B747DA" w:rsidRDefault="00B747DA" w:rsidP="00C94ECF">
      <w:pPr>
        <w:pStyle w:val="ListParagraph"/>
        <w:shd w:val="clear" w:color="auto" w:fill="FFFFFF"/>
        <w:spacing w:after="0"/>
        <w:ind w:left="0"/>
        <w:rPr>
          <w:rFonts w:cstheme="minorHAnsi"/>
          <w:sz w:val="24"/>
          <w:szCs w:val="24"/>
        </w:rPr>
      </w:pPr>
    </w:p>
    <w:p w:rsidR="00B747DA" w:rsidRDefault="00B747DA" w:rsidP="00C94ECF">
      <w:pPr>
        <w:pStyle w:val="ListParagraph"/>
        <w:shd w:val="clear" w:color="auto" w:fill="FFFFFF"/>
        <w:spacing w:after="0"/>
        <w:ind w:left="0"/>
        <w:rPr>
          <w:rFonts w:cstheme="minorHAnsi"/>
          <w:sz w:val="24"/>
          <w:szCs w:val="24"/>
        </w:rPr>
      </w:pPr>
    </w:p>
    <w:p w:rsidR="00B747DA" w:rsidRDefault="00B747DA" w:rsidP="00C94ECF">
      <w:pPr>
        <w:pStyle w:val="ListParagraph"/>
        <w:shd w:val="clear" w:color="auto" w:fill="FFFFFF"/>
        <w:spacing w:after="0"/>
        <w:ind w:left="0"/>
        <w:rPr>
          <w:rFonts w:cstheme="minorHAnsi"/>
          <w:sz w:val="24"/>
          <w:szCs w:val="24"/>
        </w:rPr>
      </w:pPr>
    </w:p>
    <w:p w:rsidR="001F37B3" w:rsidRDefault="001F37B3" w:rsidP="00C94ECF">
      <w:pPr>
        <w:pStyle w:val="ListParagraph"/>
        <w:shd w:val="clear" w:color="auto" w:fill="FFFFFF"/>
        <w:spacing w:after="0"/>
        <w:ind w:left="0"/>
        <w:rPr>
          <w:rFonts w:cstheme="minorHAnsi"/>
          <w:sz w:val="24"/>
          <w:szCs w:val="24"/>
        </w:rPr>
      </w:pPr>
      <w:r>
        <w:rPr>
          <w:rFonts w:cstheme="minorHAnsi"/>
          <w:sz w:val="24"/>
          <w:szCs w:val="24"/>
        </w:rPr>
        <w:t xml:space="preserve">Lloyd </w:t>
      </w:r>
      <w:proofErr w:type="spellStart"/>
      <w:r>
        <w:rPr>
          <w:rFonts w:cstheme="minorHAnsi"/>
          <w:sz w:val="24"/>
          <w:szCs w:val="24"/>
        </w:rPr>
        <w:t>Tapp</w:t>
      </w:r>
      <w:proofErr w:type="spellEnd"/>
      <w:r>
        <w:rPr>
          <w:rFonts w:cstheme="minorHAnsi"/>
          <w:sz w:val="24"/>
          <w:szCs w:val="24"/>
        </w:rPr>
        <w:t xml:space="preserve"> for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Michael Jack</w:t>
      </w:r>
    </w:p>
    <w:p w:rsidR="006755AF" w:rsidRDefault="006755AF" w:rsidP="00C94ECF">
      <w:pPr>
        <w:rPr>
          <w:rFonts w:cstheme="minorHAnsi"/>
          <w:b/>
          <w:bCs/>
          <w:sz w:val="36"/>
          <w:szCs w:val="36"/>
        </w:rPr>
      </w:pPr>
    </w:p>
    <w:sectPr w:rsidR="006755AF" w:rsidSect="00244363">
      <w:headerReference w:type="even" r:id="rId11"/>
      <w:headerReference w:type="default" r:id="rId12"/>
      <w:footerReference w:type="even" r:id="rId13"/>
      <w:footerReference w:type="default" r:id="rId14"/>
      <w:headerReference w:type="first" r:id="rId15"/>
      <w:footerReference w:type="first" r:id="rId16"/>
      <w:pgSz w:w="12240" w:h="15840"/>
      <w:pgMar w:top="964" w:right="1134"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B5D" w:rsidRDefault="00EF5B5D" w:rsidP="005621B3">
      <w:pPr>
        <w:spacing w:after="0" w:line="240" w:lineRule="auto"/>
      </w:pPr>
      <w:r>
        <w:separator/>
      </w:r>
    </w:p>
  </w:endnote>
  <w:endnote w:type="continuationSeparator" w:id="0">
    <w:p w:rsidR="00EF5B5D" w:rsidRDefault="00EF5B5D" w:rsidP="0056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B5D" w:rsidRDefault="00EF5B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223732"/>
      <w:docPartObj>
        <w:docPartGallery w:val="Page Numbers (Bottom of Page)"/>
        <w:docPartUnique/>
      </w:docPartObj>
    </w:sdtPr>
    <w:sdtEndPr>
      <w:rPr>
        <w:noProof/>
      </w:rPr>
    </w:sdtEndPr>
    <w:sdtContent>
      <w:p w:rsidR="00EF5B5D" w:rsidRDefault="00EF5B5D">
        <w:pPr>
          <w:pStyle w:val="Footer"/>
          <w:jc w:val="right"/>
        </w:pPr>
      </w:p>
    </w:sdtContent>
  </w:sdt>
  <w:p w:rsidR="00EF5B5D" w:rsidRDefault="00EF5B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B5D" w:rsidRDefault="00EF5B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B5D" w:rsidRDefault="00EF5B5D" w:rsidP="005621B3">
      <w:pPr>
        <w:spacing w:after="0" w:line="240" w:lineRule="auto"/>
      </w:pPr>
      <w:r>
        <w:separator/>
      </w:r>
    </w:p>
  </w:footnote>
  <w:footnote w:type="continuationSeparator" w:id="0">
    <w:p w:rsidR="00EF5B5D" w:rsidRDefault="00EF5B5D" w:rsidP="005621B3">
      <w:pPr>
        <w:spacing w:after="0" w:line="240" w:lineRule="auto"/>
      </w:pPr>
      <w:r>
        <w:continuationSeparator/>
      </w:r>
    </w:p>
  </w:footnote>
  <w:footnote w:id="1">
    <w:p w:rsidR="00EF5B5D" w:rsidRPr="006755AF" w:rsidRDefault="00EF5B5D" w:rsidP="00DD2073">
      <w:pPr>
        <w:pStyle w:val="FootnoteText"/>
      </w:pPr>
      <w:r w:rsidRPr="006755AF">
        <w:rPr>
          <w:rStyle w:val="FootnoteReference"/>
        </w:rPr>
        <w:footnoteRef/>
      </w:r>
      <w:r w:rsidRPr="006755AF">
        <w:t xml:space="preserve"> </w:t>
      </w:r>
      <w:proofErr w:type="gramStart"/>
      <w:r w:rsidRPr="006755AF">
        <w:rPr>
          <w:rFonts w:cstheme="minorHAnsi"/>
        </w:rPr>
        <w:t>Jack’s re-exam 22-Sep-15 pgs.</w:t>
      </w:r>
      <w:proofErr w:type="gramEnd"/>
      <w:r w:rsidRPr="006755AF">
        <w:rPr>
          <w:rFonts w:cstheme="minorHAnsi"/>
        </w:rPr>
        <w:t xml:space="preserve"> 63-65, Exhibit 92, p. 68</w:t>
      </w:r>
    </w:p>
  </w:footnote>
  <w:footnote w:id="2">
    <w:p w:rsidR="00EF5B5D" w:rsidRPr="006755AF" w:rsidRDefault="00EF5B5D">
      <w:pPr>
        <w:pStyle w:val="FootnoteText"/>
        <w:rPr>
          <w:lang w:val="en-CA"/>
        </w:rPr>
      </w:pPr>
      <w:r w:rsidRPr="006755AF">
        <w:rPr>
          <w:rStyle w:val="FootnoteReference"/>
        </w:rPr>
        <w:footnoteRef/>
      </w:r>
      <w:r w:rsidRPr="006755AF">
        <w:t xml:space="preserve"> </w:t>
      </w:r>
      <w:r w:rsidRPr="006755AF">
        <w:rPr>
          <w:lang w:val="en-CA"/>
        </w:rPr>
        <w:t>Exhibit 93</w:t>
      </w:r>
    </w:p>
  </w:footnote>
  <w:footnote w:id="3">
    <w:p w:rsidR="00EF5B5D" w:rsidRPr="006755AF" w:rsidRDefault="00EF5B5D">
      <w:pPr>
        <w:pStyle w:val="FootnoteText"/>
        <w:rPr>
          <w:lang w:val="en-CA"/>
        </w:rPr>
      </w:pPr>
      <w:r w:rsidRPr="006755AF">
        <w:rPr>
          <w:rStyle w:val="FootnoteReference"/>
        </w:rPr>
        <w:footnoteRef/>
      </w:r>
      <w:r w:rsidRPr="006755AF">
        <w:t xml:space="preserve"> </w:t>
      </w:r>
      <w:r w:rsidRPr="006755AF">
        <w:rPr>
          <w:lang w:val="en-CA"/>
        </w:rPr>
        <w:t>Flindall 12-Sep-16 pg. 20</w:t>
      </w:r>
    </w:p>
  </w:footnote>
  <w:footnote w:id="4">
    <w:p w:rsidR="00EF5B5D" w:rsidRPr="006755AF" w:rsidRDefault="00EF5B5D" w:rsidP="00DD2073">
      <w:pPr>
        <w:pStyle w:val="FootnoteText"/>
      </w:pPr>
      <w:r w:rsidRPr="006755AF">
        <w:rPr>
          <w:rStyle w:val="FootnoteReference"/>
        </w:rPr>
        <w:footnoteRef/>
      </w:r>
      <w:r w:rsidRPr="006755AF">
        <w:t xml:space="preserve"> </w:t>
      </w:r>
      <w:proofErr w:type="gramStart"/>
      <w:r w:rsidRPr="006755AF">
        <w:t>Jack’s re-exam 22-Sep-15 pgs.</w:t>
      </w:r>
      <w:proofErr w:type="gramEnd"/>
      <w:r w:rsidRPr="006755AF">
        <w:t xml:space="preserve"> 63-65, Exhibit 92, p. 68</w:t>
      </w:r>
    </w:p>
  </w:footnote>
  <w:footnote w:id="5">
    <w:p w:rsidR="00EF5B5D" w:rsidRPr="006755AF" w:rsidRDefault="00EF5B5D" w:rsidP="00DD2073">
      <w:pPr>
        <w:pStyle w:val="FootnoteText"/>
      </w:pPr>
      <w:r w:rsidRPr="006755AF">
        <w:rPr>
          <w:rStyle w:val="FootnoteReference"/>
        </w:rPr>
        <w:footnoteRef/>
      </w:r>
      <w:r w:rsidRPr="006755AF">
        <w:t xml:space="preserve"> </w:t>
      </w:r>
      <w:proofErr w:type="gramStart"/>
      <w:r w:rsidRPr="006755AF">
        <w:t xml:space="preserve">Gravelle 8-Feb-16 </w:t>
      </w:r>
      <w:r w:rsidRPr="006755AF">
        <w:rPr>
          <w:rFonts w:cstheme="minorHAnsi"/>
        </w:rPr>
        <w:t>pgs.</w:t>
      </w:r>
      <w:proofErr w:type="gramEnd"/>
      <w:r w:rsidRPr="006755AF">
        <w:rPr>
          <w:rFonts w:cstheme="minorHAnsi"/>
        </w:rPr>
        <w:t xml:space="preserve"> 136-138</w:t>
      </w:r>
    </w:p>
  </w:footnote>
  <w:footnote w:id="6">
    <w:p w:rsidR="00EF5B5D" w:rsidRPr="006755AF" w:rsidRDefault="00EF5B5D" w:rsidP="00DD2073">
      <w:pPr>
        <w:pStyle w:val="FootnoteText"/>
      </w:pPr>
      <w:r w:rsidRPr="006755AF">
        <w:rPr>
          <w:rStyle w:val="FootnoteReference"/>
        </w:rPr>
        <w:footnoteRef/>
      </w:r>
      <w:r w:rsidRPr="006755AF">
        <w:t xml:space="preserve"> Exhibit 139</w:t>
      </w:r>
    </w:p>
  </w:footnote>
  <w:footnote w:id="7">
    <w:p w:rsidR="00EF5B5D" w:rsidRPr="006755AF" w:rsidRDefault="00EF5B5D" w:rsidP="00DD2073">
      <w:pPr>
        <w:pStyle w:val="FootnoteText"/>
      </w:pPr>
      <w:r w:rsidRPr="006755AF">
        <w:rPr>
          <w:rStyle w:val="FootnoteReference"/>
        </w:rPr>
        <w:footnoteRef/>
      </w:r>
      <w:r w:rsidRPr="006755AF">
        <w:t xml:space="preserve"> Gravelle 8-Feb-16 </w:t>
      </w:r>
      <w:r w:rsidRPr="006755AF">
        <w:rPr>
          <w:rFonts w:cstheme="minorHAnsi"/>
        </w:rPr>
        <w:t>pg. 139</w:t>
      </w:r>
    </w:p>
  </w:footnote>
  <w:footnote w:id="8">
    <w:p w:rsidR="00EF5B5D" w:rsidRDefault="00EF5B5D" w:rsidP="00DD2073">
      <w:pPr>
        <w:pStyle w:val="FootnoteText"/>
      </w:pPr>
      <w:r w:rsidRPr="006755AF">
        <w:rPr>
          <w:rStyle w:val="FootnoteReference"/>
        </w:rPr>
        <w:footnoteRef/>
      </w:r>
      <w:r w:rsidRPr="006755AF">
        <w:t xml:space="preserve"> </w:t>
      </w:r>
      <w:proofErr w:type="gramStart"/>
      <w:r w:rsidRPr="006755AF">
        <w:t>General discussion 7-Sep-16 pgs.</w:t>
      </w:r>
      <w:proofErr w:type="gramEnd"/>
      <w:r w:rsidRPr="006755AF">
        <w:t xml:space="preserve"> 11-12</w:t>
      </w:r>
    </w:p>
  </w:footnote>
  <w:footnote w:id="9">
    <w:p w:rsidR="00EF5B5D" w:rsidRPr="006755AF" w:rsidRDefault="00EF5B5D" w:rsidP="00DD2073">
      <w:pPr>
        <w:pStyle w:val="FootnoteText"/>
      </w:pPr>
      <w:r w:rsidRPr="006755AF">
        <w:rPr>
          <w:rStyle w:val="FootnoteReference"/>
        </w:rPr>
        <w:footnoteRef/>
      </w:r>
      <w:r w:rsidRPr="006755AF">
        <w:t xml:space="preserve"> </w:t>
      </w:r>
      <w:proofErr w:type="gramStart"/>
      <w:r w:rsidRPr="006755AF">
        <w:t xml:space="preserve">Gravelle 8-Feb-16 </w:t>
      </w:r>
      <w:r w:rsidRPr="006755AF">
        <w:rPr>
          <w:rFonts w:cstheme="minorHAnsi"/>
        </w:rPr>
        <w:t>pgs.</w:t>
      </w:r>
      <w:proofErr w:type="gramEnd"/>
      <w:r w:rsidRPr="006755AF">
        <w:rPr>
          <w:rFonts w:cstheme="minorHAnsi"/>
        </w:rPr>
        <w:t xml:space="preserve"> 136-138</w:t>
      </w:r>
    </w:p>
  </w:footnote>
  <w:footnote w:id="10">
    <w:p w:rsidR="00EF5B5D" w:rsidRPr="006755AF" w:rsidRDefault="00EF5B5D" w:rsidP="00B30CA9">
      <w:pPr>
        <w:pStyle w:val="FootnoteText"/>
      </w:pPr>
      <w:r w:rsidRPr="006755AF">
        <w:rPr>
          <w:rStyle w:val="FootnoteReference"/>
        </w:rPr>
        <w:footnoteRef/>
      </w:r>
      <w:r w:rsidRPr="006755AF">
        <w:t xml:space="preserve"> Ibid.</w:t>
      </w:r>
    </w:p>
  </w:footnote>
  <w:footnote w:id="11">
    <w:p w:rsidR="00EF5B5D" w:rsidRPr="00495F61" w:rsidRDefault="00EF5B5D">
      <w:pPr>
        <w:pStyle w:val="FootnoteText"/>
        <w:rPr>
          <w:lang w:val="en-CA"/>
        </w:rPr>
      </w:pPr>
      <w:r>
        <w:rPr>
          <w:rStyle w:val="FootnoteReference"/>
        </w:rPr>
        <w:footnoteRef/>
      </w:r>
      <w:r>
        <w:t xml:space="preserve"> </w:t>
      </w:r>
      <w:proofErr w:type="gramStart"/>
      <w:r w:rsidRPr="007751DB">
        <w:rPr>
          <w:rFonts w:cstheme="minorHAnsi"/>
          <w:sz w:val="18"/>
          <w:szCs w:val="18"/>
        </w:rPr>
        <w:t>Greco 10-Feb-16 pgs.</w:t>
      </w:r>
      <w:proofErr w:type="gramEnd"/>
      <w:r w:rsidRPr="007751DB">
        <w:rPr>
          <w:rFonts w:cstheme="minorHAnsi"/>
          <w:sz w:val="18"/>
          <w:szCs w:val="18"/>
        </w:rPr>
        <w:t xml:space="preserve"> 66, 71, 87</w:t>
      </w:r>
    </w:p>
  </w:footnote>
  <w:footnote w:id="12">
    <w:p w:rsidR="00EF5B5D" w:rsidRPr="006755AF" w:rsidRDefault="00EF5B5D" w:rsidP="00DD2073">
      <w:pPr>
        <w:pStyle w:val="FootnoteText"/>
      </w:pPr>
      <w:r w:rsidRPr="006755AF">
        <w:rPr>
          <w:rStyle w:val="FootnoteReference"/>
        </w:rPr>
        <w:footnoteRef/>
      </w:r>
      <w:r w:rsidRPr="006755AF">
        <w:t xml:space="preserve"> Ibid</w:t>
      </w:r>
      <w:r>
        <w:t>.</w:t>
      </w:r>
    </w:p>
  </w:footnote>
  <w:footnote w:id="13">
    <w:p w:rsidR="00EF5B5D" w:rsidRDefault="00EF5B5D" w:rsidP="00DD2073">
      <w:pPr>
        <w:pStyle w:val="FootnoteText"/>
      </w:pPr>
      <w:r w:rsidRPr="006755AF">
        <w:rPr>
          <w:rStyle w:val="FootnoteReference"/>
        </w:rPr>
        <w:footnoteRef/>
      </w:r>
      <w:r w:rsidRPr="006755AF">
        <w:t xml:space="preserve"> </w:t>
      </w:r>
      <w:proofErr w:type="gramStart"/>
      <w:r w:rsidRPr="006755AF">
        <w:rPr>
          <w:rFonts w:cstheme="minorHAnsi"/>
        </w:rPr>
        <w:t>Filman 9-Sep-16 pgs.</w:t>
      </w:r>
      <w:proofErr w:type="gramEnd"/>
      <w:r w:rsidRPr="006755AF">
        <w:rPr>
          <w:rFonts w:cstheme="minorHAnsi"/>
        </w:rPr>
        <w:t xml:space="preserve"> 95, 98, 112, 113, 119, 197</w:t>
      </w:r>
    </w:p>
  </w:footnote>
  <w:footnote w:id="14">
    <w:p w:rsidR="00EF5B5D" w:rsidRPr="006755AF" w:rsidRDefault="00EF5B5D" w:rsidP="00DD2073">
      <w:pPr>
        <w:pStyle w:val="FootnoteText"/>
      </w:pPr>
      <w:r w:rsidRPr="006755AF">
        <w:rPr>
          <w:rStyle w:val="FootnoteReference"/>
        </w:rPr>
        <w:footnoteRef/>
      </w:r>
      <w:r w:rsidRPr="006755AF">
        <w:t xml:space="preserve"> </w:t>
      </w:r>
      <w:r w:rsidRPr="006755AF">
        <w:rPr>
          <w:rFonts w:cstheme="minorHAnsi"/>
        </w:rPr>
        <w:t>Kohen 11-Feb-16 pg. 144, Exhibit 125 pg. 1</w:t>
      </w:r>
    </w:p>
  </w:footnote>
  <w:footnote w:id="15">
    <w:p w:rsidR="00EF5B5D" w:rsidRPr="006755AF" w:rsidRDefault="00EF5B5D" w:rsidP="00DD2073">
      <w:pPr>
        <w:pStyle w:val="FootnoteText"/>
      </w:pPr>
      <w:r w:rsidRPr="006755AF">
        <w:rPr>
          <w:rStyle w:val="FootnoteReference"/>
        </w:rPr>
        <w:footnoteRef/>
      </w:r>
      <w:r w:rsidRPr="006755AF">
        <w:t xml:space="preserve"> </w:t>
      </w:r>
      <w:proofErr w:type="gramStart"/>
      <w:r w:rsidRPr="006755AF">
        <w:rPr>
          <w:rFonts w:cstheme="minorHAnsi"/>
        </w:rPr>
        <w:t>Campbell 8-Sep-16 pgs.</w:t>
      </w:r>
      <w:proofErr w:type="gramEnd"/>
      <w:r w:rsidRPr="006755AF">
        <w:rPr>
          <w:rFonts w:cstheme="minorHAnsi"/>
        </w:rPr>
        <w:t xml:space="preserve"> 21-25, 30-35, Exhibits 99, </w:t>
      </w:r>
      <w:r>
        <w:rPr>
          <w:rFonts w:cstheme="minorHAnsi"/>
        </w:rPr>
        <w:t xml:space="preserve">165, </w:t>
      </w:r>
      <w:r w:rsidRPr="006755AF">
        <w:rPr>
          <w:rFonts w:cstheme="minorHAnsi"/>
        </w:rPr>
        <w:t>155</w:t>
      </w:r>
    </w:p>
  </w:footnote>
  <w:footnote w:id="16">
    <w:p w:rsidR="00EF5B5D" w:rsidRPr="006755AF" w:rsidRDefault="00EF5B5D" w:rsidP="00495F61">
      <w:pPr>
        <w:pStyle w:val="FootnoteText"/>
      </w:pPr>
      <w:r w:rsidRPr="006755AF">
        <w:rPr>
          <w:rStyle w:val="FootnoteReference"/>
        </w:rPr>
        <w:footnoteRef/>
      </w:r>
      <w:r w:rsidRPr="006755AF">
        <w:t xml:space="preserve"> </w:t>
      </w:r>
      <w:r>
        <w:t>Ibid.</w:t>
      </w:r>
    </w:p>
  </w:footnote>
  <w:footnote w:id="17">
    <w:p w:rsidR="00EF5B5D" w:rsidRPr="006755AF" w:rsidRDefault="00EF5B5D" w:rsidP="00E31AF1">
      <w:pPr>
        <w:pStyle w:val="FootnoteText"/>
      </w:pPr>
      <w:r w:rsidRPr="006755AF">
        <w:rPr>
          <w:rStyle w:val="FootnoteReference"/>
        </w:rPr>
        <w:footnoteRef/>
      </w:r>
      <w:r w:rsidRPr="006755AF">
        <w:t xml:space="preserve"> German 11-Feb-16, pg. 61, Exhibit 92 pg. 23, Exhibit 26 pg. 3</w:t>
      </w:r>
    </w:p>
  </w:footnote>
  <w:footnote w:id="18">
    <w:p w:rsidR="00EF5B5D" w:rsidRPr="006755AF" w:rsidRDefault="00EF5B5D" w:rsidP="00E31AF1">
      <w:pPr>
        <w:pStyle w:val="FootnoteText"/>
      </w:pPr>
      <w:r w:rsidRPr="006755AF">
        <w:rPr>
          <w:rStyle w:val="FootnoteReference"/>
        </w:rPr>
        <w:footnoteRef/>
      </w:r>
      <w:r w:rsidRPr="006755AF">
        <w:t xml:space="preserve"> Exhibit 26 pg. 3, Exhibit 92 pg. 23</w:t>
      </w:r>
    </w:p>
  </w:footnote>
  <w:footnote w:id="19">
    <w:p w:rsidR="00EF5B5D" w:rsidRPr="006755AF" w:rsidRDefault="00EF5B5D" w:rsidP="00DD2073">
      <w:pPr>
        <w:pStyle w:val="FootnoteText"/>
      </w:pPr>
      <w:r w:rsidRPr="006755AF">
        <w:rPr>
          <w:rStyle w:val="FootnoteReference"/>
        </w:rPr>
        <w:footnoteRef/>
      </w:r>
      <w:r w:rsidRPr="006755AF">
        <w:t xml:space="preserve"> </w:t>
      </w:r>
      <w:r w:rsidRPr="006755AF">
        <w:rPr>
          <w:rFonts w:cstheme="minorHAnsi"/>
        </w:rPr>
        <w:t>Kohen 11-Feb-16 pg. 144, Exhibit 125 pg. 1</w:t>
      </w:r>
    </w:p>
  </w:footnote>
  <w:footnote w:id="20">
    <w:p w:rsidR="00EF5B5D" w:rsidRDefault="00EF5B5D" w:rsidP="00DD2073">
      <w:pPr>
        <w:pStyle w:val="FootnoteText"/>
      </w:pPr>
      <w:r w:rsidRPr="006755AF">
        <w:rPr>
          <w:rStyle w:val="FootnoteReference"/>
        </w:rPr>
        <w:footnoteRef/>
      </w:r>
      <w:r w:rsidRPr="006755AF">
        <w:t xml:space="preserve"> </w:t>
      </w:r>
      <w:proofErr w:type="gramStart"/>
      <w:r w:rsidRPr="006755AF">
        <w:t>Filman 9-Sep-16 pgs.</w:t>
      </w:r>
      <w:proofErr w:type="gramEnd"/>
      <w:r w:rsidRPr="006755AF">
        <w:t xml:space="preserve"> 70-71, 192, Exhibit 92 pg. 10, Exhibits 23, 25 pg. 5 (Radio Communications)</w:t>
      </w:r>
    </w:p>
  </w:footnote>
  <w:footnote w:id="21">
    <w:p w:rsidR="00EF5B5D" w:rsidRPr="0088026B" w:rsidRDefault="00EF5B5D" w:rsidP="00485E68">
      <w:pPr>
        <w:pStyle w:val="FootnoteText"/>
        <w:rPr>
          <w:lang w:val="en-CA"/>
        </w:rPr>
      </w:pPr>
      <w:r w:rsidRPr="0088026B">
        <w:rPr>
          <w:rStyle w:val="FootnoteReference"/>
        </w:rPr>
        <w:footnoteRef/>
      </w:r>
      <w:r w:rsidRPr="0088026B">
        <w:t xml:space="preserve"> </w:t>
      </w:r>
      <w:proofErr w:type="gramStart"/>
      <w:r w:rsidRPr="0088026B">
        <w:rPr>
          <w:lang w:val="en-CA"/>
        </w:rPr>
        <w:t>Moran 9-Feb-16 pgs.</w:t>
      </w:r>
      <w:proofErr w:type="gramEnd"/>
      <w:r w:rsidRPr="0088026B">
        <w:rPr>
          <w:lang w:val="en-CA"/>
        </w:rPr>
        <w:t xml:space="preserve"> 179-180</w:t>
      </w:r>
    </w:p>
  </w:footnote>
  <w:footnote w:id="22">
    <w:p w:rsidR="00EF5B5D" w:rsidRPr="0088026B" w:rsidRDefault="00EF5B5D" w:rsidP="00DD2073">
      <w:pPr>
        <w:pStyle w:val="FootnoteText"/>
      </w:pPr>
      <w:r w:rsidRPr="0088026B">
        <w:rPr>
          <w:rStyle w:val="FootnoteReference"/>
        </w:rPr>
        <w:footnoteRef/>
      </w:r>
      <w:r w:rsidRPr="0088026B">
        <w:t xml:space="preserve"> </w:t>
      </w:r>
      <w:proofErr w:type="gramStart"/>
      <w:r w:rsidRPr="0088026B">
        <w:t>Nie 15-Sep-16 pgs.</w:t>
      </w:r>
      <w:proofErr w:type="gramEnd"/>
      <w:r w:rsidRPr="0088026B">
        <w:t xml:space="preserve"> 32, 35, 53-54</w:t>
      </w:r>
    </w:p>
  </w:footnote>
  <w:footnote w:id="23">
    <w:p w:rsidR="00EF5B5D" w:rsidRDefault="00EF5B5D">
      <w:pPr>
        <w:pStyle w:val="FootnoteText"/>
      </w:pPr>
      <w:r w:rsidRPr="0088026B">
        <w:rPr>
          <w:rStyle w:val="FootnoteReference"/>
        </w:rPr>
        <w:footnoteRef/>
      </w:r>
      <w:r w:rsidRPr="0088026B">
        <w:t xml:space="preserve"> Nie 15-Sep-16 pg. 35</w:t>
      </w:r>
    </w:p>
  </w:footnote>
  <w:footnote w:id="24">
    <w:p w:rsidR="00EF5B5D" w:rsidRPr="006755AF" w:rsidRDefault="00EF5B5D">
      <w:pPr>
        <w:pStyle w:val="FootnoteText"/>
      </w:pPr>
      <w:r w:rsidRPr="006755AF">
        <w:rPr>
          <w:rStyle w:val="FootnoteReference"/>
        </w:rPr>
        <w:footnoteRef/>
      </w:r>
      <w:r w:rsidRPr="006755AF">
        <w:t xml:space="preserve"> Exhibit 143</w:t>
      </w:r>
    </w:p>
  </w:footnote>
  <w:footnote w:id="25">
    <w:p w:rsidR="00EF5B5D" w:rsidRPr="006755AF" w:rsidRDefault="00EF5B5D" w:rsidP="00DD2073">
      <w:pPr>
        <w:pStyle w:val="FootnoteText"/>
      </w:pPr>
      <w:r w:rsidRPr="006755AF">
        <w:rPr>
          <w:rStyle w:val="FootnoteReference"/>
        </w:rPr>
        <w:footnoteRef/>
      </w:r>
      <w:r w:rsidRPr="006755AF">
        <w:t xml:space="preserve"> </w:t>
      </w:r>
      <w:proofErr w:type="gramStart"/>
      <w:r w:rsidRPr="006755AF">
        <w:t>Kohen 11-Feb-16 pgs.</w:t>
      </w:r>
      <w:proofErr w:type="gramEnd"/>
      <w:r w:rsidRPr="006755AF">
        <w:t xml:space="preserve"> 178-180</w:t>
      </w:r>
    </w:p>
  </w:footnote>
  <w:footnote w:id="26">
    <w:p w:rsidR="00EF5B5D" w:rsidRPr="006755AF" w:rsidRDefault="00EF5B5D" w:rsidP="00DD2073">
      <w:pPr>
        <w:pStyle w:val="FootnoteText"/>
        <w:rPr>
          <w:lang w:val="en-CA"/>
        </w:rPr>
      </w:pPr>
      <w:r w:rsidRPr="006755AF">
        <w:rPr>
          <w:rStyle w:val="FootnoteReference"/>
        </w:rPr>
        <w:footnoteRef/>
      </w:r>
      <w:r w:rsidRPr="006755AF">
        <w:t xml:space="preserve"> </w:t>
      </w:r>
      <w:r w:rsidRPr="006755AF">
        <w:rPr>
          <w:lang w:val="en-CA"/>
        </w:rPr>
        <w:t>Exhibit 124</w:t>
      </w:r>
    </w:p>
  </w:footnote>
  <w:footnote w:id="27">
    <w:p w:rsidR="00EF5B5D" w:rsidRPr="006755AF" w:rsidRDefault="00EF5B5D" w:rsidP="00DD2073">
      <w:pPr>
        <w:pStyle w:val="FootnoteText"/>
      </w:pPr>
      <w:r w:rsidRPr="006755AF">
        <w:rPr>
          <w:rStyle w:val="FootnoteReference"/>
        </w:rPr>
        <w:footnoteRef/>
      </w:r>
      <w:r w:rsidRPr="006755AF">
        <w:t xml:space="preserve"> </w:t>
      </w:r>
      <w:proofErr w:type="gramStart"/>
      <w:r w:rsidRPr="006755AF">
        <w:t>Armstrong 12-Feb-16 pgs.</w:t>
      </w:r>
      <w:proofErr w:type="gramEnd"/>
      <w:r w:rsidRPr="006755AF">
        <w:t xml:space="preserve"> 97-98</w:t>
      </w:r>
    </w:p>
  </w:footnote>
  <w:footnote w:id="28">
    <w:p w:rsidR="00EF5B5D" w:rsidRPr="006755AF" w:rsidRDefault="00EF5B5D" w:rsidP="00DD2073">
      <w:pPr>
        <w:pStyle w:val="FootnoteText"/>
      </w:pPr>
      <w:r w:rsidRPr="006755AF">
        <w:rPr>
          <w:rStyle w:val="FootnoteReference"/>
        </w:rPr>
        <w:footnoteRef/>
      </w:r>
      <w:r w:rsidRPr="006755AF">
        <w:t xml:space="preserve"> </w:t>
      </w:r>
      <w:proofErr w:type="gramStart"/>
      <w:r w:rsidRPr="006755AF">
        <w:rPr>
          <w:rFonts w:cstheme="minorHAnsi"/>
        </w:rPr>
        <w:t>Nie 15-Sep-16 pgs.</w:t>
      </w:r>
      <w:proofErr w:type="gramEnd"/>
      <w:r w:rsidRPr="006755AF">
        <w:rPr>
          <w:rFonts w:cstheme="minorHAnsi"/>
        </w:rPr>
        <w:t xml:space="preserve"> 168-170</w:t>
      </w:r>
    </w:p>
  </w:footnote>
  <w:footnote w:id="29">
    <w:p w:rsidR="00EF5B5D" w:rsidRPr="006755AF" w:rsidRDefault="00EF5B5D" w:rsidP="00DD2073">
      <w:pPr>
        <w:pStyle w:val="FootnoteText"/>
      </w:pPr>
      <w:r w:rsidRPr="006755AF">
        <w:rPr>
          <w:rStyle w:val="FootnoteReference"/>
        </w:rPr>
        <w:footnoteRef/>
      </w:r>
      <w:r w:rsidRPr="006755AF">
        <w:t xml:space="preserve"> </w:t>
      </w:r>
      <w:proofErr w:type="gramStart"/>
      <w:r w:rsidRPr="006755AF">
        <w:t>Ibid. pgs.</w:t>
      </w:r>
      <w:proofErr w:type="gramEnd"/>
      <w:r w:rsidRPr="006755AF">
        <w:t xml:space="preserve"> 47-50, 125, Exhibit 53</w:t>
      </w:r>
    </w:p>
  </w:footnote>
  <w:footnote w:id="30">
    <w:p w:rsidR="00EF5B5D" w:rsidRPr="006755AF" w:rsidRDefault="00EF5B5D" w:rsidP="00955E74">
      <w:pPr>
        <w:pStyle w:val="FootnoteText"/>
      </w:pPr>
      <w:r w:rsidRPr="006755AF">
        <w:rPr>
          <w:rStyle w:val="FootnoteReference"/>
        </w:rPr>
        <w:footnoteRef/>
      </w:r>
      <w:r w:rsidRPr="006755AF">
        <w:t xml:space="preserve"> </w:t>
      </w:r>
      <w:proofErr w:type="gramStart"/>
      <w:r w:rsidRPr="006755AF">
        <w:t>Moran 9-Feb-16 pgs.</w:t>
      </w:r>
      <w:proofErr w:type="gramEnd"/>
      <w:r w:rsidRPr="006755AF">
        <w:t xml:space="preserve"> 174-194</w:t>
      </w:r>
    </w:p>
  </w:footnote>
  <w:footnote w:id="31">
    <w:p w:rsidR="00EF5B5D" w:rsidRDefault="00EF5B5D" w:rsidP="00955E74">
      <w:pPr>
        <w:pStyle w:val="FootnoteText"/>
      </w:pPr>
      <w:r w:rsidRPr="006755AF">
        <w:rPr>
          <w:rStyle w:val="FootnoteReference"/>
        </w:rPr>
        <w:footnoteRef/>
      </w:r>
      <w:r w:rsidRPr="006755AF">
        <w:t xml:space="preserve"> </w:t>
      </w:r>
      <w:proofErr w:type="gramStart"/>
      <w:r w:rsidRPr="006755AF">
        <w:t>Ibid. pgs.</w:t>
      </w:r>
      <w:proofErr w:type="gramEnd"/>
      <w:r w:rsidRPr="006755AF">
        <w:t xml:space="preserve"> 174-194</w:t>
      </w:r>
    </w:p>
  </w:footnote>
  <w:footnote w:id="32">
    <w:p w:rsidR="00EF5B5D" w:rsidRPr="006755AF" w:rsidRDefault="00EF5B5D" w:rsidP="008A760B">
      <w:pPr>
        <w:pStyle w:val="FootnoteText"/>
        <w:rPr>
          <w:lang w:val="en-CA"/>
        </w:rPr>
      </w:pPr>
      <w:r w:rsidRPr="006755AF">
        <w:rPr>
          <w:rStyle w:val="FootnoteReference"/>
        </w:rPr>
        <w:footnoteRef/>
      </w:r>
      <w:r w:rsidRPr="006755AF">
        <w:t xml:space="preserve"> </w:t>
      </w:r>
      <w:proofErr w:type="gramStart"/>
      <w:r w:rsidRPr="006755AF">
        <w:rPr>
          <w:lang w:val="en-CA"/>
        </w:rPr>
        <w:t xml:space="preserve">Exhibit 143 </w:t>
      </w:r>
      <w:r w:rsidRPr="006755AF">
        <w:rPr>
          <w:rFonts w:cstheme="minorHAnsi"/>
        </w:rPr>
        <w:t>pgs.</w:t>
      </w:r>
      <w:proofErr w:type="gramEnd"/>
      <w:r w:rsidRPr="006755AF">
        <w:rPr>
          <w:rFonts w:cstheme="minorHAnsi"/>
        </w:rPr>
        <w:t xml:space="preserve"> 4-5</w:t>
      </w:r>
    </w:p>
  </w:footnote>
  <w:footnote w:id="33">
    <w:p w:rsidR="00EF5B5D" w:rsidRPr="006755AF" w:rsidRDefault="00EF5B5D" w:rsidP="008A760B">
      <w:pPr>
        <w:pStyle w:val="FootnoteText"/>
        <w:rPr>
          <w:rFonts w:cstheme="minorHAnsi"/>
        </w:rPr>
      </w:pPr>
      <w:r w:rsidRPr="006755AF">
        <w:rPr>
          <w:rStyle w:val="FootnoteReference"/>
        </w:rPr>
        <w:footnoteRef/>
      </w:r>
      <w:r w:rsidRPr="006755AF">
        <w:t xml:space="preserve"> </w:t>
      </w:r>
      <w:proofErr w:type="gramStart"/>
      <w:r w:rsidRPr="006755AF">
        <w:rPr>
          <w:rFonts w:cstheme="minorHAnsi"/>
        </w:rPr>
        <w:t>Filman 9-Sep-16 pgs.</w:t>
      </w:r>
      <w:proofErr w:type="gramEnd"/>
      <w:r w:rsidRPr="006755AF">
        <w:rPr>
          <w:rFonts w:cstheme="minorHAnsi"/>
        </w:rPr>
        <w:t xml:space="preserve"> 182-187, </w:t>
      </w:r>
    </w:p>
  </w:footnote>
  <w:footnote w:id="34">
    <w:p w:rsidR="00EF5B5D" w:rsidRPr="006755AF" w:rsidRDefault="00EF5B5D" w:rsidP="008A760B">
      <w:pPr>
        <w:pStyle w:val="FootnoteText"/>
      </w:pPr>
      <w:r w:rsidRPr="006755AF">
        <w:rPr>
          <w:rStyle w:val="FootnoteReference"/>
        </w:rPr>
        <w:footnoteRef/>
      </w:r>
      <w:r w:rsidRPr="006755AF">
        <w:t xml:space="preserve"> </w:t>
      </w:r>
      <w:proofErr w:type="gramStart"/>
      <w:r w:rsidRPr="006755AF">
        <w:rPr>
          <w:rFonts w:cstheme="minorHAnsi"/>
        </w:rPr>
        <w:t>Campbell 7-Sep-16 pgs.</w:t>
      </w:r>
      <w:proofErr w:type="gramEnd"/>
      <w:r w:rsidRPr="006755AF">
        <w:rPr>
          <w:rFonts w:cstheme="minorHAnsi"/>
        </w:rPr>
        <w:t xml:space="preserve"> </w:t>
      </w:r>
      <w:proofErr w:type="gramStart"/>
      <w:r w:rsidRPr="006755AF">
        <w:rPr>
          <w:rFonts w:cstheme="minorHAnsi"/>
        </w:rPr>
        <w:t>141, 145, 146, Flindall 12-Sep-16 pgs.</w:t>
      </w:r>
      <w:proofErr w:type="gramEnd"/>
      <w:r w:rsidRPr="006755AF">
        <w:rPr>
          <w:rFonts w:cstheme="minorHAnsi"/>
        </w:rPr>
        <w:t xml:space="preserve"> 29, 183-184, Exhibits 146, 147</w:t>
      </w:r>
    </w:p>
  </w:footnote>
  <w:footnote w:id="35">
    <w:p w:rsidR="00EF5B5D" w:rsidRPr="006755AF" w:rsidRDefault="00EF5B5D" w:rsidP="008A760B">
      <w:pPr>
        <w:pStyle w:val="FootnoteText"/>
      </w:pPr>
      <w:r w:rsidRPr="006755AF">
        <w:rPr>
          <w:rStyle w:val="FootnoteReference"/>
        </w:rPr>
        <w:footnoteRef/>
      </w:r>
      <w:r w:rsidRPr="006755AF">
        <w:t xml:space="preserve"> Exhibit 92 pg. 12</w:t>
      </w:r>
    </w:p>
  </w:footnote>
  <w:footnote w:id="36">
    <w:p w:rsidR="00EF5B5D" w:rsidRPr="006755AF" w:rsidRDefault="00EF5B5D" w:rsidP="008A760B">
      <w:pPr>
        <w:pStyle w:val="FootnoteText"/>
        <w:rPr>
          <w:lang w:val="en-CA"/>
        </w:rPr>
      </w:pPr>
      <w:r w:rsidRPr="006755AF">
        <w:rPr>
          <w:rStyle w:val="FootnoteReference"/>
        </w:rPr>
        <w:footnoteRef/>
      </w:r>
      <w:r w:rsidRPr="006755AF">
        <w:t xml:space="preserve"> </w:t>
      </w:r>
      <w:r w:rsidRPr="006755AF">
        <w:rPr>
          <w:lang w:val="en-CA"/>
        </w:rPr>
        <w:t>Exhibit 202</w:t>
      </w:r>
    </w:p>
  </w:footnote>
  <w:footnote w:id="37">
    <w:p w:rsidR="00EF5B5D" w:rsidRPr="006755AF" w:rsidRDefault="00EF5B5D" w:rsidP="008A760B">
      <w:pPr>
        <w:pStyle w:val="FootnoteText"/>
        <w:rPr>
          <w:lang w:val="en-CA"/>
        </w:rPr>
      </w:pPr>
      <w:r w:rsidRPr="006755AF">
        <w:rPr>
          <w:rStyle w:val="FootnoteReference"/>
        </w:rPr>
        <w:footnoteRef/>
      </w:r>
      <w:r w:rsidRPr="006755AF">
        <w:t xml:space="preserve"> </w:t>
      </w:r>
      <w:r w:rsidRPr="006755AF">
        <w:rPr>
          <w:lang w:val="en-CA"/>
        </w:rPr>
        <w:t>Exhibit 203</w:t>
      </w:r>
    </w:p>
  </w:footnote>
  <w:footnote w:id="38">
    <w:p w:rsidR="00EF5B5D" w:rsidRDefault="00EF5B5D" w:rsidP="008A760B">
      <w:pPr>
        <w:pStyle w:val="FootnoteText"/>
      </w:pPr>
      <w:r w:rsidRPr="006755AF">
        <w:rPr>
          <w:rStyle w:val="FootnoteReference"/>
        </w:rPr>
        <w:footnoteRef/>
      </w:r>
      <w:r w:rsidRPr="006755AF">
        <w:t xml:space="preserve"> Exhibit 204</w:t>
      </w:r>
    </w:p>
  </w:footnote>
  <w:footnote w:id="39">
    <w:p w:rsidR="00EF5B5D" w:rsidRPr="006755AF" w:rsidRDefault="00EF5B5D">
      <w:pPr>
        <w:pStyle w:val="FootnoteText"/>
      </w:pPr>
      <w:r w:rsidRPr="006755AF">
        <w:rPr>
          <w:rStyle w:val="FootnoteReference"/>
        </w:rPr>
        <w:footnoteRef/>
      </w:r>
      <w:r w:rsidRPr="006755AF">
        <w:t xml:space="preserve"> Exhibit 29</w:t>
      </w:r>
    </w:p>
  </w:footnote>
  <w:footnote w:id="40">
    <w:p w:rsidR="00EF5B5D" w:rsidRPr="006755AF" w:rsidRDefault="00EF5B5D" w:rsidP="006B42C3">
      <w:pPr>
        <w:pStyle w:val="FootnoteText"/>
      </w:pPr>
      <w:r w:rsidRPr="006755AF">
        <w:rPr>
          <w:rStyle w:val="FootnoteReference"/>
        </w:rPr>
        <w:footnoteRef/>
      </w:r>
      <w:r w:rsidRPr="006755AF">
        <w:t xml:space="preserve"> </w:t>
      </w:r>
      <w:proofErr w:type="gramStart"/>
      <w:r>
        <w:t>Exhibit 29, ‘Judgement’ pgs.</w:t>
      </w:r>
      <w:proofErr w:type="gramEnd"/>
      <w:r>
        <w:t xml:space="preserve"> 1 - 10</w:t>
      </w:r>
    </w:p>
  </w:footnote>
  <w:footnote w:id="41">
    <w:p w:rsidR="00EF5B5D" w:rsidRPr="00E417C4" w:rsidRDefault="00EF5B5D">
      <w:pPr>
        <w:pStyle w:val="FootnoteText"/>
        <w:rPr>
          <w:lang w:val="en-CA"/>
        </w:rPr>
      </w:pPr>
      <w:r w:rsidRPr="006755AF">
        <w:rPr>
          <w:rStyle w:val="FootnoteReference"/>
        </w:rPr>
        <w:footnoteRef/>
      </w:r>
      <w:r w:rsidRPr="006755AF">
        <w:t xml:space="preserve"> </w:t>
      </w:r>
      <w:proofErr w:type="gramStart"/>
      <w:r w:rsidRPr="006755AF">
        <w:rPr>
          <w:rFonts w:cstheme="minorHAnsi"/>
        </w:rPr>
        <w:t>Flindall 12-Sep-16 pgs.</w:t>
      </w:r>
      <w:proofErr w:type="gramEnd"/>
      <w:r w:rsidRPr="006755AF">
        <w:rPr>
          <w:rFonts w:cstheme="minorHAnsi"/>
        </w:rPr>
        <w:t xml:space="preserve"> 10, 23, 130-132, 180-181, 184, 186-192, 194-195</w:t>
      </w:r>
    </w:p>
  </w:footnote>
  <w:footnote w:id="42">
    <w:p w:rsidR="00EF5B5D" w:rsidRPr="006755AF" w:rsidRDefault="00EF5B5D" w:rsidP="00873882">
      <w:pPr>
        <w:pStyle w:val="FootnoteText"/>
        <w:rPr>
          <w:lang w:val="en-CA"/>
        </w:rPr>
      </w:pPr>
      <w:r w:rsidRPr="006755AF">
        <w:rPr>
          <w:rStyle w:val="FootnoteReference"/>
        </w:rPr>
        <w:footnoteRef/>
      </w:r>
      <w:r w:rsidRPr="006755AF">
        <w:t xml:space="preserve"> </w:t>
      </w:r>
      <w:proofErr w:type="gramStart"/>
      <w:r w:rsidRPr="006755AF">
        <w:rPr>
          <w:rFonts w:cstheme="minorHAnsi"/>
        </w:rPr>
        <w:t>Flindall 12-Sep-16 pgs.</w:t>
      </w:r>
      <w:proofErr w:type="gramEnd"/>
      <w:r w:rsidRPr="006755AF">
        <w:rPr>
          <w:rFonts w:cstheme="minorHAnsi"/>
        </w:rPr>
        <w:t xml:space="preserve"> 19-20, 139-140</w:t>
      </w:r>
    </w:p>
  </w:footnote>
  <w:footnote w:id="43">
    <w:p w:rsidR="00EF5B5D" w:rsidRPr="006755AF" w:rsidRDefault="00EF5B5D" w:rsidP="005B3EC5">
      <w:pPr>
        <w:pStyle w:val="FootnoteText"/>
      </w:pPr>
      <w:r w:rsidRPr="006755AF">
        <w:rPr>
          <w:rStyle w:val="FootnoteReference"/>
        </w:rPr>
        <w:footnoteRef/>
      </w:r>
      <w:r w:rsidRPr="006755AF">
        <w:t xml:space="preserve"> Exhibits 140, 175</w:t>
      </w:r>
    </w:p>
  </w:footnote>
  <w:footnote w:id="44">
    <w:p w:rsidR="00EF5B5D" w:rsidRPr="006755AF" w:rsidRDefault="00EF5B5D">
      <w:pPr>
        <w:pStyle w:val="FootnoteText"/>
        <w:rPr>
          <w:lang w:val="en-CA"/>
        </w:rPr>
      </w:pPr>
      <w:r w:rsidRPr="006755AF">
        <w:rPr>
          <w:rStyle w:val="FootnoteReference"/>
        </w:rPr>
        <w:footnoteRef/>
      </w:r>
      <w:r w:rsidRPr="006755AF">
        <w:t xml:space="preserve"> </w:t>
      </w:r>
      <w:r w:rsidRPr="006755AF">
        <w:rPr>
          <w:lang w:val="en-CA"/>
        </w:rPr>
        <w:t>Ibid.</w:t>
      </w:r>
    </w:p>
  </w:footnote>
  <w:footnote w:id="45">
    <w:p w:rsidR="00EF5B5D" w:rsidRPr="006755AF" w:rsidRDefault="00EF5B5D">
      <w:pPr>
        <w:pStyle w:val="FootnoteText"/>
        <w:rPr>
          <w:lang w:val="en-CA"/>
        </w:rPr>
      </w:pPr>
      <w:r w:rsidRPr="006755AF">
        <w:rPr>
          <w:rStyle w:val="FootnoteReference"/>
        </w:rPr>
        <w:footnoteRef/>
      </w:r>
      <w:r w:rsidRPr="006755AF">
        <w:t xml:space="preserve"> </w:t>
      </w:r>
      <w:r w:rsidRPr="006755AF">
        <w:rPr>
          <w:lang w:val="en-CA"/>
        </w:rPr>
        <w:t>Exhibit 125</w:t>
      </w:r>
    </w:p>
  </w:footnote>
  <w:footnote w:id="46">
    <w:p w:rsidR="00EF5B5D" w:rsidRPr="006755AF" w:rsidRDefault="00EF5B5D">
      <w:pPr>
        <w:pStyle w:val="FootnoteText"/>
        <w:rPr>
          <w:lang w:val="en-CA"/>
        </w:rPr>
      </w:pPr>
      <w:r w:rsidRPr="006755AF">
        <w:rPr>
          <w:rStyle w:val="FootnoteReference"/>
        </w:rPr>
        <w:footnoteRef/>
      </w:r>
      <w:r w:rsidRPr="006755AF">
        <w:t xml:space="preserve"> </w:t>
      </w:r>
      <w:r w:rsidRPr="006755AF">
        <w:rPr>
          <w:lang w:val="en-CA"/>
        </w:rPr>
        <w:t>Exhibit 156</w:t>
      </w:r>
    </w:p>
  </w:footnote>
  <w:footnote w:id="47">
    <w:p w:rsidR="00EF5B5D" w:rsidRPr="006755AF" w:rsidRDefault="00EF5B5D">
      <w:pPr>
        <w:pStyle w:val="FootnoteText"/>
        <w:rPr>
          <w:lang w:val="en-CA"/>
        </w:rPr>
      </w:pPr>
      <w:r w:rsidRPr="006755AF">
        <w:rPr>
          <w:rStyle w:val="FootnoteReference"/>
        </w:rPr>
        <w:footnoteRef/>
      </w:r>
      <w:r w:rsidRPr="006755AF">
        <w:t xml:space="preserve"> </w:t>
      </w:r>
      <w:r w:rsidRPr="006755AF">
        <w:rPr>
          <w:lang w:val="en-CA"/>
        </w:rPr>
        <w:t>Exhibit 143</w:t>
      </w:r>
    </w:p>
  </w:footnote>
  <w:footnote w:id="48">
    <w:p w:rsidR="00EF5B5D" w:rsidRPr="006755AF" w:rsidRDefault="00EF5B5D">
      <w:pPr>
        <w:pStyle w:val="FootnoteText"/>
        <w:rPr>
          <w:lang w:val="en-CA"/>
        </w:rPr>
      </w:pPr>
      <w:r w:rsidRPr="006755AF">
        <w:rPr>
          <w:rStyle w:val="FootnoteReference"/>
        </w:rPr>
        <w:footnoteRef/>
      </w:r>
      <w:r w:rsidRPr="006755AF">
        <w:t xml:space="preserve"> </w:t>
      </w:r>
      <w:proofErr w:type="gramStart"/>
      <w:r w:rsidRPr="006755AF">
        <w:rPr>
          <w:lang w:val="en-CA"/>
        </w:rPr>
        <w:t>Campbell 8-Sep-16 pgs.</w:t>
      </w:r>
      <w:proofErr w:type="gramEnd"/>
      <w:r w:rsidRPr="006755AF">
        <w:rPr>
          <w:lang w:val="en-CA"/>
        </w:rPr>
        <w:t xml:space="preserve"> 26, 27, 72, 80</w:t>
      </w:r>
    </w:p>
  </w:footnote>
  <w:footnote w:id="49">
    <w:p w:rsidR="00EF5B5D" w:rsidRPr="006410A3" w:rsidRDefault="00EF5B5D" w:rsidP="006410A3">
      <w:pPr>
        <w:pStyle w:val="FootnoteText"/>
        <w:rPr>
          <w:lang w:val="en-CA"/>
        </w:rPr>
      </w:pPr>
      <w:r>
        <w:rPr>
          <w:rStyle w:val="FootnoteReference"/>
        </w:rPr>
        <w:footnoteRef/>
      </w:r>
      <w:r>
        <w:t xml:space="preserve"> Nie 15-Sep-16 pg. 47, Exhibit 215, Exhibit 143, 19Nov09 PC Nie</w:t>
      </w:r>
    </w:p>
  </w:footnote>
  <w:footnote w:id="50">
    <w:p w:rsidR="00EF5B5D" w:rsidRPr="006755AF" w:rsidRDefault="00EF5B5D">
      <w:pPr>
        <w:pStyle w:val="FootnoteText"/>
        <w:rPr>
          <w:lang w:val="en-CA"/>
        </w:rPr>
      </w:pPr>
      <w:r w:rsidRPr="006755AF">
        <w:rPr>
          <w:rStyle w:val="FootnoteReference"/>
        </w:rPr>
        <w:footnoteRef/>
      </w:r>
      <w:r w:rsidRPr="006755AF">
        <w:t xml:space="preserve"> </w:t>
      </w:r>
      <w:r w:rsidRPr="006755AF">
        <w:rPr>
          <w:rFonts w:cstheme="minorHAnsi"/>
        </w:rPr>
        <w:t>Exhibit 120</w:t>
      </w:r>
    </w:p>
  </w:footnote>
  <w:footnote w:id="51">
    <w:p w:rsidR="00EF5B5D" w:rsidRPr="006755AF" w:rsidRDefault="00EF5B5D">
      <w:pPr>
        <w:pStyle w:val="FootnoteText"/>
        <w:rPr>
          <w:lang w:val="en-CA"/>
        </w:rPr>
      </w:pPr>
      <w:r w:rsidRPr="006755AF">
        <w:rPr>
          <w:rStyle w:val="FootnoteReference"/>
        </w:rPr>
        <w:footnoteRef/>
      </w:r>
      <w:r w:rsidRPr="006755AF">
        <w:t xml:space="preserve"> </w:t>
      </w:r>
      <w:r w:rsidRPr="006755AF">
        <w:rPr>
          <w:rFonts w:cstheme="minorHAnsi"/>
        </w:rPr>
        <w:t>Exhibit 53</w:t>
      </w:r>
    </w:p>
  </w:footnote>
  <w:footnote w:id="52">
    <w:p w:rsidR="00EF5B5D" w:rsidRPr="006755AF" w:rsidRDefault="00EF5B5D" w:rsidP="006410A3">
      <w:pPr>
        <w:pStyle w:val="FootnoteText"/>
      </w:pPr>
      <w:r w:rsidRPr="006755AF">
        <w:rPr>
          <w:rStyle w:val="FootnoteReference"/>
        </w:rPr>
        <w:footnoteRef/>
      </w:r>
      <w:r w:rsidRPr="006755AF">
        <w:t xml:space="preserve"> </w:t>
      </w:r>
      <w:proofErr w:type="gramStart"/>
      <w:r>
        <w:t>Nie 15-Sep-16 pgs.</w:t>
      </w:r>
      <w:proofErr w:type="gramEnd"/>
      <w:r>
        <w:t xml:space="preserve"> 161-163, </w:t>
      </w:r>
      <w:r w:rsidRPr="006755AF">
        <w:t>Exhibit 143</w:t>
      </w:r>
      <w:r>
        <w:t xml:space="preserve"> pgs. 19Nov09 PC Nie</w:t>
      </w:r>
    </w:p>
  </w:footnote>
  <w:footnote w:id="53">
    <w:p w:rsidR="00EF5B5D" w:rsidRPr="006755AF" w:rsidRDefault="00EF5B5D" w:rsidP="002D35CA">
      <w:pPr>
        <w:pStyle w:val="FootnoteText"/>
      </w:pPr>
      <w:r w:rsidRPr="006755AF">
        <w:rPr>
          <w:rStyle w:val="FootnoteReference"/>
        </w:rPr>
        <w:footnoteRef/>
      </w:r>
      <w:r w:rsidRPr="006755AF">
        <w:t xml:space="preserve"> </w:t>
      </w:r>
      <w:proofErr w:type="gramStart"/>
      <w:r w:rsidRPr="006755AF">
        <w:rPr>
          <w:lang w:val="en-CA"/>
        </w:rPr>
        <w:t>Campbell 8-Sep-16 pgs.</w:t>
      </w:r>
      <w:proofErr w:type="gramEnd"/>
      <w:r w:rsidRPr="006755AF">
        <w:rPr>
          <w:lang w:val="en-CA"/>
        </w:rPr>
        <w:t xml:space="preserve"> 26, 27, 72, 80, </w:t>
      </w:r>
      <w:r w:rsidRPr="006755AF">
        <w:t>Exhibits 99, 155</w:t>
      </w:r>
    </w:p>
  </w:footnote>
  <w:footnote w:id="54">
    <w:p w:rsidR="00EF5B5D" w:rsidRDefault="00EF5B5D">
      <w:pPr>
        <w:pStyle w:val="FootnoteText"/>
      </w:pPr>
      <w:r w:rsidRPr="006755AF">
        <w:rPr>
          <w:rStyle w:val="FootnoteReference"/>
        </w:rPr>
        <w:footnoteRef/>
      </w:r>
      <w:r w:rsidRPr="006755AF">
        <w:t xml:space="preserve"> Exhibit 90</w:t>
      </w:r>
    </w:p>
  </w:footnote>
  <w:footnote w:id="55">
    <w:p w:rsidR="00EF5B5D" w:rsidRPr="006755AF" w:rsidRDefault="00EF5B5D">
      <w:pPr>
        <w:pStyle w:val="FootnoteText"/>
      </w:pPr>
      <w:r w:rsidRPr="006755AF">
        <w:rPr>
          <w:rStyle w:val="FootnoteReference"/>
        </w:rPr>
        <w:footnoteRef/>
      </w:r>
      <w:r w:rsidRPr="006755AF">
        <w:t xml:space="preserve"> </w:t>
      </w:r>
      <w:proofErr w:type="gramStart"/>
      <w:r w:rsidRPr="006755AF">
        <w:t>Flindall 13-Sep-16 pgs.</w:t>
      </w:r>
      <w:proofErr w:type="gramEnd"/>
      <w:r w:rsidRPr="006755AF">
        <w:t xml:space="preserve"> 82-83</w:t>
      </w:r>
    </w:p>
  </w:footnote>
  <w:footnote w:id="56">
    <w:p w:rsidR="00EF5B5D" w:rsidRPr="006755AF" w:rsidRDefault="00EF5B5D" w:rsidP="00663DB3">
      <w:pPr>
        <w:pStyle w:val="FootnoteText"/>
      </w:pPr>
      <w:r w:rsidRPr="006755AF">
        <w:rPr>
          <w:rStyle w:val="FootnoteReference"/>
        </w:rPr>
        <w:footnoteRef/>
      </w:r>
      <w:r w:rsidRPr="006755AF">
        <w:t xml:space="preserve"> </w:t>
      </w:r>
      <w:proofErr w:type="gramStart"/>
      <w:r w:rsidRPr="006755AF">
        <w:t>Exhibit 92 pgs.</w:t>
      </w:r>
      <w:proofErr w:type="gramEnd"/>
      <w:r w:rsidRPr="006755AF">
        <w:t xml:space="preserve"> 17-19</w:t>
      </w:r>
    </w:p>
  </w:footnote>
  <w:footnote w:id="57">
    <w:p w:rsidR="00EF5B5D" w:rsidRPr="006755AF" w:rsidRDefault="00EF5B5D" w:rsidP="00C97286">
      <w:pPr>
        <w:pStyle w:val="FootnoteText"/>
        <w:rPr>
          <w:rFonts w:cstheme="minorHAnsi"/>
        </w:rPr>
      </w:pPr>
      <w:r w:rsidRPr="006755AF">
        <w:rPr>
          <w:rStyle w:val="FootnoteReference"/>
          <w:rFonts w:cstheme="minorHAnsi"/>
        </w:rPr>
        <w:footnoteRef/>
      </w:r>
      <w:r w:rsidRPr="006755AF">
        <w:rPr>
          <w:rFonts w:cstheme="minorHAnsi"/>
        </w:rPr>
        <w:t xml:space="preserve"> </w:t>
      </w:r>
      <w:proofErr w:type="gramStart"/>
      <w:r w:rsidRPr="006755AF">
        <w:rPr>
          <w:rFonts w:cstheme="minorHAnsi"/>
        </w:rPr>
        <w:t>Campbell 8-Sep-16 pgs.</w:t>
      </w:r>
      <w:proofErr w:type="gramEnd"/>
      <w:r w:rsidRPr="006755AF">
        <w:rPr>
          <w:rFonts w:cstheme="minorHAnsi"/>
        </w:rPr>
        <w:t xml:space="preserve"> 65-66, Exhibit 42</w:t>
      </w:r>
    </w:p>
  </w:footnote>
  <w:footnote w:id="58">
    <w:p w:rsidR="00EF5B5D" w:rsidRPr="006755AF" w:rsidRDefault="00EF5B5D" w:rsidP="00C97286">
      <w:pPr>
        <w:pStyle w:val="FootnoteText"/>
        <w:rPr>
          <w:rFonts w:cstheme="minorHAnsi"/>
        </w:rPr>
      </w:pPr>
      <w:r w:rsidRPr="006755AF">
        <w:rPr>
          <w:rStyle w:val="FootnoteReference"/>
          <w:rFonts w:cstheme="minorHAnsi"/>
        </w:rPr>
        <w:footnoteRef/>
      </w:r>
      <w:r w:rsidRPr="006755AF">
        <w:rPr>
          <w:rFonts w:cstheme="minorHAnsi"/>
        </w:rPr>
        <w:t xml:space="preserve"> Flindall 12-Sep-16 pg. 60</w:t>
      </w:r>
    </w:p>
  </w:footnote>
  <w:footnote w:id="59">
    <w:p w:rsidR="00EF5B5D" w:rsidRPr="006755AF" w:rsidRDefault="00EF5B5D" w:rsidP="00C97286">
      <w:pPr>
        <w:pStyle w:val="FootnoteText"/>
        <w:rPr>
          <w:rFonts w:cstheme="minorHAnsi"/>
        </w:rPr>
      </w:pPr>
      <w:r w:rsidRPr="006755AF">
        <w:rPr>
          <w:rStyle w:val="FootnoteReference"/>
          <w:rFonts w:cstheme="minorHAnsi"/>
        </w:rPr>
        <w:footnoteRef/>
      </w:r>
      <w:r w:rsidRPr="006755AF">
        <w:rPr>
          <w:rFonts w:cstheme="minorHAnsi"/>
        </w:rPr>
        <w:t xml:space="preserve"> </w:t>
      </w:r>
      <w:proofErr w:type="gramStart"/>
      <w:r w:rsidRPr="006755AF">
        <w:rPr>
          <w:rFonts w:cstheme="minorHAnsi"/>
        </w:rPr>
        <w:t>Campbell 8-Sep-16 pgs.</w:t>
      </w:r>
      <w:proofErr w:type="gramEnd"/>
      <w:r w:rsidRPr="006755AF">
        <w:rPr>
          <w:rFonts w:cstheme="minorHAnsi"/>
        </w:rPr>
        <w:t xml:space="preserve"> 65-66</w:t>
      </w:r>
    </w:p>
  </w:footnote>
  <w:footnote w:id="60">
    <w:p w:rsidR="00EF5B5D" w:rsidRPr="006755AF" w:rsidRDefault="00EF5B5D" w:rsidP="00C97286">
      <w:pPr>
        <w:pStyle w:val="FootnoteText"/>
        <w:rPr>
          <w:rFonts w:cstheme="minorHAnsi"/>
        </w:rPr>
      </w:pPr>
      <w:r w:rsidRPr="006755AF">
        <w:rPr>
          <w:rStyle w:val="FootnoteReference"/>
          <w:rFonts w:cstheme="minorHAnsi"/>
        </w:rPr>
        <w:footnoteRef/>
      </w:r>
      <w:r w:rsidRPr="006755AF">
        <w:rPr>
          <w:rFonts w:cstheme="minorHAnsi"/>
        </w:rPr>
        <w:t xml:space="preserve"> </w:t>
      </w:r>
      <w:proofErr w:type="gramStart"/>
      <w:r w:rsidRPr="006755AF">
        <w:rPr>
          <w:rFonts w:cstheme="minorHAnsi"/>
        </w:rPr>
        <w:t>Flindall 13-Sep-16 pgs.</w:t>
      </w:r>
      <w:proofErr w:type="gramEnd"/>
      <w:r w:rsidRPr="006755AF">
        <w:rPr>
          <w:rFonts w:cstheme="minorHAnsi"/>
        </w:rPr>
        <w:t xml:space="preserve"> 77-81</w:t>
      </w:r>
    </w:p>
  </w:footnote>
  <w:footnote w:id="61">
    <w:p w:rsidR="00EF5B5D" w:rsidRPr="006755AF" w:rsidRDefault="00EF5B5D" w:rsidP="00C97286">
      <w:pPr>
        <w:pStyle w:val="FootnoteText"/>
        <w:rPr>
          <w:rFonts w:cstheme="minorHAnsi"/>
        </w:rPr>
      </w:pPr>
      <w:r w:rsidRPr="006755AF">
        <w:rPr>
          <w:rStyle w:val="FootnoteReference"/>
          <w:rFonts w:cstheme="minorHAnsi"/>
        </w:rPr>
        <w:footnoteRef/>
      </w:r>
      <w:r w:rsidRPr="006755AF">
        <w:rPr>
          <w:rFonts w:cstheme="minorHAnsi"/>
        </w:rPr>
        <w:t xml:space="preserve"> Ibid pg. 96</w:t>
      </w:r>
    </w:p>
  </w:footnote>
  <w:footnote w:id="62">
    <w:p w:rsidR="00EF5B5D" w:rsidRPr="006755AF" w:rsidRDefault="00EF5B5D" w:rsidP="00C97286">
      <w:pPr>
        <w:pStyle w:val="FootnoteText"/>
        <w:rPr>
          <w:rFonts w:cstheme="minorHAnsi"/>
        </w:rPr>
      </w:pPr>
      <w:r w:rsidRPr="006755AF">
        <w:rPr>
          <w:rStyle w:val="FootnoteReference"/>
          <w:rFonts w:cstheme="minorHAnsi"/>
        </w:rPr>
        <w:footnoteRef/>
      </w:r>
      <w:r w:rsidRPr="006755AF">
        <w:rPr>
          <w:rFonts w:cstheme="minorHAnsi"/>
        </w:rPr>
        <w:t xml:space="preserve"> </w:t>
      </w:r>
      <w:proofErr w:type="gramStart"/>
      <w:r w:rsidRPr="006755AF">
        <w:rPr>
          <w:rFonts w:cstheme="minorHAnsi"/>
        </w:rPr>
        <w:t>Ibid pgs.</w:t>
      </w:r>
      <w:proofErr w:type="gramEnd"/>
      <w:r w:rsidRPr="006755AF">
        <w:rPr>
          <w:rFonts w:cstheme="minorHAnsi"/>
        </w:rPr>
        <w:t xml:space="preserve"> 97-98</w:t>
      </w:r>
    </w:p>
  </w:footnote>
  <w:footnote w:id="63">
    <w:p w:rsidR="00EF5B5D" w:rsidRPr="00D74B29" w:rsidRDefault="00EF5B5D">
      <w:pPr>
        <w:pStyle w:val="FootnoteText"/>
      </w:pPr>
      <w:r>
        <w:rPr>
          <w:rStyle w:val="FootnoteReference"/>
        </w:rPr>
        <w:footnoteRef/>
      </w:r>
      <w:r>
        <w:t xml:space="preserve"> Exhibit 32</w:t>
      </w:r>
    </w:p>
  </w:footnote>
  <w:footnote w:id="64">
    <w:p w:rsidR="00EF5B5D" w:rsidRPr="006755AF" w:rsidRDefault="00EF5B5D" w:rsidP="00957292">
      <w:pPr>
        <w:pStyle w:val="FootnoteText"/>
        <w:rPr>
          <w:rFonts w:cstheme="minorHAnsi"/>
        </w:rPr>
      </w:pPr>
      <w:r w:rsidRPr="006755AF">
        <w:rPr>
          <w:rStyle w:val="FootnoteReference"/>
          <w:rFonts w:cstheme="minorHAnsi"/>
        </w:rPr>
        <w:footnoteRef/>
      </w:r>
      <w:r w:rsidRPr="006755AF">
        <w:rPr>
          <w:rFonts w:cstheme="minorHAnsi"/>
        </w:rPr>
        <w:t xml:space="preserve"> </w:t>
      </w:r>
      <w:proofErr w:type="gramStart"/>
      <w:r w:rsidRPr="006755AF">
        <w:rPr>
          <w:rFonts w:cstheme="minorHAnsi"/>
        </w:rPr>
        <w:t>Flindall 12-Sep-16 pgs.</w:t>
      </w:r>
      <w:proofErr w:type="gramEnd"/>
      <w:r w:rsidRPr="006755AF">
        <w:rPr>
          <w:rFonts w:cstheme="minorHAnsi"/>
        </w:rPr>
        <w:t xml:space="preserve"> </w:t>
      </w:r>
      <w:proofErr w:type="gramStart"/>
      <w:r w:rsidRPr="006755AF">
        <w:rPr>
          <w:rFonts w:cstheme="minorHAnsi"/>
        </w:rPr>
        <w:t>102-103, Flindall 13-Sep-16 pgs.</w:t>
      </w:r>
      <w:proofErr w:type="gramEnd"/>
      <w:r w:rsidRPr="006755AF">
        <w:rPr>
          <w:rFonts w:cstheme="minorHAnsi"/>
        </w:rPr>
        <w:t xml:space="preserve"> 34-38, 189-190, Exhibits 32, 164, Jack’s exam</w:t>
      </w:r>
    </w:p>
  </w:footnote>
  <w:footnote w:id="65">
    <w:p w:rsidR="00EF5B5D" w:rsidRPr="006755AF" w:rsidRDefault="00EF5B5D" w:rsidP="00957292">
      <w:pPr>
        <w:pStyle w:val="FootnoteText"/>
        <w:rPr>
          <w:rFonts w:cstheme="minorHAnsi"/>
        </w:rPr>
      </w:pPr>
      <w:r w:rsidRPr="006755AF">
        <w:rPr>
          <w:rStyle w:val="FootnoteReference"/>
          <w:rFonts w:cstheme="minorHAnsi"/>
        </w:rPr>
        <w:footnoteRef/>
      </w:r>
      <w:r w:rsidRPr="006755AF">
        <w:rPr>
          <w:rFonts w:cstheme="minorHAnsi"/>
        </w:rPr>
        <w:t xml:space="preserve"> Campbell 8-Sep-16 pg. 139, Exhibit 92 pg. 31, Jack’s exam</w:t>
      </w:r>
    </w:p>
  </w:footnote>
  <w:footnote w:id="66">
    <w:p w:rsidR="00EF5B5D" w:rsidRPr="006755AF" w:rsidRDefault="00EF5B5D" w:rsidP="005A421A">
      <w:pPr>
        <w:pStyle w:val="FootnoteText"/>
      </w:pPr>
      <w:r w:rsidRPr="006755AF">
        <w:rPr>
          <w:rStyle w:val="FootnoteReference"/>
        </w:rPr>
        <w:footnoteRef/>
      </w:r>
      <w:r w:rsidRPr="006755AF">
        <w:t xml:space="preserve"> Exhibit 143 </w:t>
      </w:r>
    </w:p>
  </w:footnote>
  <w:footnote w:id="67">
    <w:p w:rsidR="00EF5B5D" w:rsidRPr="006755AF" w:rsidRDefault="00EF5B5D" w:rsidP="005A421A">
      <w:pPr>
        <w:pStyle w:val="FootnoteText"/>
      </w:pPr>
      <w:r w:rsidRPr="006755AF">
        <w:rPr>
          <w:rStyle w:val="FootnoteReference"/>
        </w:rPr>
        <w:footnoteRef/>
      </w:r>
      <w:r w:rsidRPr="006755AF">
        <w:t xml:space="preserve"> </w:t>
      </w:r>
      <w:proofErr w:type="gramStart"/>
      <w:r w:rsidRPr="006755AF">
        <w:t>Butorac 14-Sep-16 pgs.</w:t>
      </w:r>
      <w:proofErr w:type="gramEnd"/>
      <w:r w:rsidRPr="006755AF">
        <w:t xml:space="preserve"> 55-56, 79 </w:t>
      </w:r>
    </w:p>
  </w:footnote>
  <w:footnote w:id="68">
    <w:p w:rsidR="00EF5B5D" w:rsidRPr="006755AF" w:rsidRDefault="00EF5B5D" w:rsidP="00BD5A89">
      <w:pPr>
        <w:pStyle w:val="FootnoteText"/>
      </w:pPr>
      <w:r w:rsidRPr="006755AF">
        <w:rPr>
          <w:rStyle w:val="FootnoteReference"/>
        </w:rPr>
        <w:footnoteRef/>
      </w:r>
      <w:r w:rsidRPr="006755AF">
        <w:t xml:space="preserve"> </w:t>
      </w:r>
      <w:proofErr w:type="gramStart"/>
      <w:r w:rsidRPr="006755AF">
        <w:t>Butorac 14-Sep-16 pg. 32, 79.</w:t>
      </w:r>
      <w:proofErr w:type="gramEnd"/>
    </w:p>
  </w:footnote>
  <w:footnote w:id="69">
    <w:p w:rsidR="00EF5B5D" w:rsidRPr="006755AF" w:rsidRDefault="00EF5B5D" w:rsidP="00BD5A89">
      <w:pPr>
        <w:pStyle w:val="FootnoteText"/>
      </w:pPr>
      <w:r w:rsidRPr="006755AF">
        <w:rPr>
          <w:rStyle w:val="FootnoteReference"/>
        </w:rPr>
        <w:footnoteRef/>
      </w:r>
      <w:r w:rsidRPr="006755AF">
        <w:t xml:space="preserve"> </w:t>
      </w:r>
      <w:proofErr w:type="gramStart"/>
      <w:r w:rsidRPr="006755AF">
        <w:t>Butorac 14-Sep-16 pgs.</w:t>
      </w:r>
      <w:proofErr w:type="gramEnd"/>
      <w:r w:rsidRPr="006755AF">
        <w:t xml:space="preserve"> 39-41, Exhibit 53</w:t>
      </w:r>
    </w:p>
  </w:footnote>
  <w:footnote w:id="70">
    <w:p w:rsidR="00EF5B5D" w:rsidRPr="006755AF" w:rsidRDefault="00EF5B5D">
      <w:pPr>
        <w:pStyle w:val="FootnoteText"/>
      </w:pPr>
      <w:r w:rsidRPr="006755AF">
        <w:rPr>
          <w:rStyle w:val="FootnoteReference"/>
        </w:rPr>
        <w:footnoteRef/>
      </w:r>
      <w:r w:rsidRPr="006755AF">
        <w:t xml:space="preserve"> Exhibits 166, 173, 190, 194, 195, 208, 210, 213, 216</w:t>
      </w:r>
    </w:p>
  </w:footnote>
  <w:footnote w:id="71">
    <w:p w:rsidR="00EF5B5D" w:rsidRPr="006755AF" w:rsidRDefault="00EF5B5D">
      <w:pPr>
        <w:pStyle w:val="FootnoteText"/>
      </w:pPr>
      <w:r w:rsidRPr="006755AF">
        <w:rPr>
          <w:rStyle w:val="FootnoteReference"/>
        </w:rPr>
        <w:footnoteRef/>
      </w:r>
      <w:r w:rsidRPr="006755AF">
        <w:t xml:space="preserve"> </w:t>
      </w:r>
      <w:proofErr w:type="gramStart"/>
      <w:r w:rsidRPr="006755AF">
        <w:t>Payne 14-Sep-16 pgs.</w:t>
      </w:r>
      <w:proofErr w:type="gramEnd"/>
      <w:r w:rsidRPr="006755AF">
        <w:t xml:space="preserve"> 177-179, Exhibit 198</w:t>
      </w:r>
    </w:p>
  </w:footnote>
  <w:footnote w:id="72">
    <w:p w:rsidR="00EF5B5D" w:rsidRPr="006755AF" w:rsidRDefault="00EF5B5D">
      <w:pPr>
        <w:pStyle w:val="FootnoteText"/>
        <w:rPr>
          <w:lang w:val="en-CA"/>
        </w:rPr>
      </w:pPr>
      <w:r w:rsidRPr="006755AF">
        <w:rPr>
          <w:rStyle w:val="FootnoteReference"/>
        </w:rPr>
        <w:footnoteRef/>
      </w:r>
      <w:r w:rsidRPr="006755AF">
        <w:t xml:space="preserve"> Payne 14-Sep-16 pg. 179</w:t>
      </w:r>
    </w:p>
  </w:footnote>
  <w:footnote w:id="73">
    <w:p w:rsidR="00EF5B5D" w:rsidRPr="006755AF" w:rsidRDefault="00EF5B5D">
      <w:pPr>
        <w:pStyle w:val="FootnoteText"/>
      </w:pPr>
      <w:r w:rsidRPr="006755AF">
        <w:rPr>
          <w:rStyle w:val="FootnoteReference"/>
        </w:rPr>
        <w:footnoteRef/>
      </w:r>
      <w:r w:rsidRPr="006755AF">
        <w:t xml:space="preserve"> Ibid.</w:t>
      </w:r>
    </w:p>
  </w:footnote>
  <w:footnote w:id="74">
    <w:p w:rsidR="00EF5B5D" w:rsidRPr="00A15D0F" w:rsidRDefault="00EF5B5D" w:rsidP="005E579B">
      <w:pPr>
        <w:pStyle w:val="FootnoteText"/>
        <w:rPr>
          <w:rFonts w:cstheme="minorHAnsi"/>
          <w:sz w:val="18"/>
          <w:szCs w:val="18"/>
        </w:rPr>
      </w:pPr>
      <w:r w:rsidRPr="006755AF">
        <w:rPr>
          <w:rStyle w:val="FootnoteReference"/>
        </w:rPr>
        <w:footnoteRef/>
      </w:r>
      <w:r w:rsidRPr="006755AF">
        <w:t xml:space="preserve"> </w:t>
      </w:r>
      <w:proofErr w:type="gramStart"/>
      <w:r w:rsidRPr="006755AF">
        <w:rPr>
          <w:rFonts w:cstheme="minorHAnsi"/>
        </w:rPr>
        <w:t>Payne 14-Sep-16 pgs.</w:t>
      </w:r>
      <w:proofErr w:type="gramEnd"/>
      <w:r w:rsidRPr="006755AF">
        <w:rPr>
          <w:rFonts w:cstheme="minorHAnsi"/>
        </w:rPr>
        <w:t xml:space="preserve"> 138, 140, 182, 184</w:t>
      </w:r>
    </w:p>
  </w:footnote>
  <w:footnote w:id="75">
    <w:p w:rsidR="00EF5B5D" w:rsidRPr="006755AF" w:rsidRDefault="00EF5B5D" w:rsidP="005E579B">
      <w:pPr>
        <w:pStyle w:val="FootnoteText"/>
      </w:pPr>
      <w:r w:rsidRPr="006755AF">
        <w:rPr>
          <w:rStyle w:val="FootnoteReference"/>
        </w:rPr>
        <w:footnoteRef/>
      </w:r>
      <w:r w:rsidRPr="006755AF">
        <w:t xml:space="preserve"> Ibid. pg. 182</w:t>
      </w:r>
    </w:p>
  </w:footnote>
  <w:footnote w:id="76">
    <w:p w:rsidR="00EF5B5D" w:rsidRPr="006755AF" w:rsidRDefault="00EF5B5D" w:rsidP="005E579B">
      <w:pPr>
        <w:pStyle w:val="FootnoteText"/>
      </w:pPr>
      <w:r w:rsidRPr="006755AF">
        <w:rPr>
          <w:rStyle w:val="FootnoteReference"/>
        </w:rPr>
        <w:footnoteRef/>
      </w:r>
      <w:r w:rsidRPr="006755AF">
        <w:t xml:space="preserve"> Payne 14-Sep-16 pg. 184</w:t>
      </w:r>
    </w:p>
  </w:footnote>
  <w:footnote w:id="77">
    <w:p w:rsidR="00EF5B5D" w:rsidRPr="006755AF" w:rsidRDefault="00EF5B5D" w:rsidP="00AC56C7">
      <w:pPr>
        <w:pStyle w:val="FootnoteText"/>
      </w:pPr>
      <w:r w:rsidRPr="006755AF">
        <w:rPr>
          <w:rStyle w:val="FootnoteReference"/>
        </w:rPr>
        <w:footnoteRef/>
      </w:r>
      <w:r w:rsidRPr="006755AF">
        <w:t xml:space="preserve"> </w:t>
      </w:r>
      <w:proofErr w:type="gramStart"/>
      <w:r w:rsidRPr="006755AF">
        <w:t>Payne 14-Sep-16 pgs.</w:t>
      </w:r>
      <w:proofErr w:type="gramEnd"/>
      <w:r w:rsidRPr="006755AF">
        <w:t xml:space="preserve"> 136-137</w:t>
      </w:r>
    </w:p>
  </w:footnote>
  <w:footnote w:id="78">
    <w:p w:rsidR="00EF5B5D" w:rsidRPr="006755AF" w:rsidRDefault="00EF5B5D">
      <w:pPr>
        <w:pStyle w:val="FootnoteText"/>
      </w:pPr>
      <w:r w:rsidRPr="006755AF">
        <w:rPr>
          <w:rStyle w:val="FootnoteReference"/>
        </w:rPr>
        <w:footnoteRef/>
      </w:r>
      <w:r w:rsidRPr="006755AF">
        <w:t xml:space="preserve"> </w:t>
      </w:r>
      <w:proofErr w:type="gramStart"/>
      <w:r w:rsidRPr="006755AF">
        <w:t>Campbell 8-Sep-16 pgs.</w:t>
      </w:r>
      <w:proofErr w:type="gramEnd"/>
      <w:r w:rsidRPr="006755AF">
        <w:t xml:space="preserve"> 39-40, Exhibit 156</w:t>
      </w:r>
    </w:p>
  </w:footnote>
  <w:footnote w:id="79">
    <w:p w:rsidR="00EF5B5D" w:rsidRPr="006755AF" w:rsidRDefault="00EF5B5D" w:rsidP="003351DB">
      <w:pPr>
        <w:pStyle w:val="FootnoteText"/>
        <w:rPr>
          <w:rFonts w:cstheme="minorHAnsi"/>
        </w:rPr>
      </w:pPr>
      <w:r w:rsidRPr="006755AF">
        <w:rPr>
          <w:rStyle w:val="FootnoteReference"/>
          <w:rFonts w:cstheme="minorHAnsi"/>
        </w:rPr>
        <w:footnoteRef/>
      </w:r>
      <w:r w:rsidRPr="006755AF">
        <w:rPr>
          <w:rFonts w:cstheme="minorHAnsi"/>
        </w:rPr>
        <w:t xml:space="preserve"> Nie 15-Sep-16 pg. 177</w:t>
      </w:r>
    </w:p>
  </w:footnote>
  <w:footnote w:id="80">
    <w:p w:rsidR="00EF5B5D" w:rsidRPr="006755AF" w:rsidRDefault="00EF5B5D" w:rsidP="003351DB">
      <w:pPr>
        <w:pStyle w:val="FootnoteText"/>
        <w:rPr>
          <w:rFonts w:cstheme="minorHAnsi"/>
        </w:rPr>
      </w:pPr>
      <w:r w:rsidRPr="006755AF">
        <w:rPr>
          <w:rStyle w:val="FootnoteReference"/>
          <w:rFonts w:cstheme="minorHAnsi"/>
        </w:rPr>
        <w:footnoteRef/>
      </w:r>
      <w:r w:rsidRPr="006755AF">
        <w:rPr>
          <w:rFonts w:cstheme="minorHAnsi"/>
        </w:rPr>
        <w:t xml:space="preserve"> </w:t>
      </w:r>
      <w:proofErr w:type="gramStart"/>
      <w:r w:rsidRPr="006755AF">
        <w:rPr>
          <w:rFonts w:cstheme="minorHAnsi"/>
        </w:rPr>
        <w:t>Ibid pgs.</w:t>
      </w:r>
      <w:proofErr w:type="gramEnd"/>
      <w:r w:rsidRPr="006755AF">
        <w:rPr>
          <w:rFonts w:cstheme="minorHAnsi"/>
        </w:rPr>
        <w:t xml:space="preserve"> 168-170</w:t>
      </w:r>
    </w:p>
  </w:footnote>
  <w:footnote w:id="81">
    <w:p w:rsidR="00EF5B5D" w:rsidRPr="006755AF" w:rsidRDefault="00EF5B5D" w:rsidP="003351DB">
      <w:pPr>
        <w:pStyle w:val="FootnoteText"/>
        <w:rPr>
          <w:rFonts w:cstheme="minorHAnsi"/>
        </w:rPr>
      </w:pPr>
      <w:r w:rsidRPr="006755AF">
        <w:rPr>
          <w:rStyle w:val="FootnoteReference"/>
          <w:rFonts w:cstheme="minorHAnsi"/>
        </w:rPr>
        <w:footnoteRef/>
      </w:r>
      <w:r w:rsidRPr="006755AF">
        <w:rPr>
          <w:rFonts w:cstheme="minorHAnsi"/>
        </w:rPr>
        <w:t xml:space="preserve"> </w:t>
      </w:r>
      <w:proofErr w:type="gramStart"/>
      <w:r w:rsidRPr="006755AF">
        <w:rPr>
          <w:rFonts w:cstheme="minorHAnsi"/>
        </w:rPr>
        <w:t>Ibid pgs.</w:t>
      </w:r>
      <w:proofErr w:type="gramEnd"/>
      <w:r w:rsidRPr="006755AF">
        <w:rPr>
          <w:rFonts w:cstheme="minorHAnsi"/>
        </w:rPr>
        <w:t xml:space="preserve"> 168-170</w:t>
      </w:r>
    </w:p>
  </w:footnote>
  <w:footnote w:id="82">
    <w:p w:rsidR="00EF5B5D" w:rsidRPr="006755AF" w:rsidRDefault="00EF5B5D" w:rsidP="00065162">
      <w:pPr>
        <w:pStyle w:val="FootnoteText"/>
        <w:rPr>
          <w:rFonts w:cstheme="minorHAnsi"/>
        </w:rPr>
      </w:pPr>
      <w:r w:rsidRPr="006755AF">
        <w:rPr>
          <w:rStyle w:val="FootnoteReference"/>
          <w:rFonts w:cstheme="minorHAnsi"/>
        </w:rPr>
        <w:footnoteRef/>
      </w:r>
      <w:r w:rsidRPr="006755AF">
        <w:rPr>
          <w:rFonts w:cstheme="minorHAnsi"/>
        </w:rPr>
        <w:t xml:space="preserve"> Exhibit 143</w:t>
      </w:r>
    </w:p>
  </w:footnote>
  <w:footnote w:id="83">
    <w:p w:rsidR="00EF5B5D" w:rsidRPr="006755AF" w:rsidRDefault="00EF5B5D" w:rsidP="00065162">
      <w:pPr>
        <w:pStyle w:val="FootnoteText"/>
      </w:pPr>
      <w:r w:rsidRPr="006755AF">
        <w:rPr>
          <w:rStyle w:val="FootnoteReference"/>
        </w:rPr>
        <w:footnoteRef/>
      </w:r>
      <w:r w:rsidRPr="006755AF">
        <w:rPr>
          <w:rFonts w:cstheme="minorHAnsi"/>
        </w:rPr>
        <w:t xml:space="preserve"> </w:t>
      </w:r>
      <w:proofErr w:type="gramStart"/>
      <w:r w:rsidRPr="006755AF">
        <w:rPr>
          <w:rFonts w:cstheme="minorHAnsi"/>
        </w:rPr>
        <w:t>Exhibit 92 pgs.</w:t>
      </w:r>
      <w:proofErr w:type="gramEnd"/>
      <w:r w:rsidRPr="006755AF">
        <w:rPr>
          <w:rFonts w:cstheme="minorHAnsi"/>
        </w:rPr>
        <w:t xml:space="preserve"> 33-34</w:t>
      </w:r>
    </w:p>
  </w:footnote>
  <w:footnote w:id="84">
    <w:p w:rsidR="00EF5B5D" w:rsidRPr="006755AF" w:rsidRDefault="00EF5B5D" w:rsidP="00065162">
      <w:pPr>
        <w:pStyle w:val="FootnoteText"/>
        <w:rPr>
          <w:rFonts w:cstheme="minorHAnsi"/>
        </w:rPr>
      </w:pPr>
      <w:r w:rsidRPr="006755AF">
        <w:rPr>
          <w:rStyle w:val="FootnoteReference"/>
          <w:rFonts w:cstheme="minorHAnsi"/>
        </w:rPr>
        <w:footnoteRef/>
      </w:r>
      <w:r w:rsidRPr="006755AF">
        <w:rPr>
          <w:rFonts w:cstheme="minorHAnsi"/>
        </w:rPr>
        <w:t xml:space="preserve"> </w:t>
      </w:r>
      <w:proofErr w:type="gramStart"/>
      <w:r w:rsidRPr="006755AF">
        <w:rPr>
          <w:rFonts w:cstheme="minorHAnsi"/>
        </w:rPr>
        <w:t>Nie 15-Sep-16 pgs.</w:t>
      </w:r>
      <w:proofErr w:type="gramEnd"/>
      <w:r w:rsidRPr="006755AF">
        <w:rPr>
          <w:rFonts w:cstheme="minorHAnsi"/>
        </w:rPr>
        <w:t xml:space="preserve"> 106-110</w:t>
      </w:r>
    </w:p>
  </w:footnote>
  <w:footnote w:id="85">
    <w:p w:rsidR="00EF5B5D" w:rsidRPr="00D136BC" w:rsidRDefault="00EF5B5D" w:rsidP="00D136BC">
      <w:pPr>
        <w:pStyle w:val="FootnoteText"/>
        <w:rPr>
          <w:lang w:val="en-CA"/>
        </w:rPr>
      </w:pPr>
      <w:r w:rsidRPr="006755AF">
        <w:rPr>
          <w:rStyle w:val="FootnoteReference"/>
        </w:rPr>
        <w:footnoteRef/>
      </w:r>
      <w:r w:rsidRPr="006755AF">
        <w:t xml:space="preserve"> </w:t>
      </w:r>
      <w:proofErr w:type="gramStart"/>
      <w:r w:rsidRPr="006755AF">
        <w:rPr>
          <w:lang w:val="en-CA"/>
        </w:rPr>
        <w:t>Ibid. pgs.</w:t>
      </w:r>
      <w:proofErr w:type="gramEnd"/>
      <w:r w:rsidRPr="006755AF">
        <w:rPr>
          <w:lang w:val="en-CA"/>
        </w:rPr>
        <w:t xml:space="preserve"> 166, 176</w:t>
      </w:r>
    </w:p>
  </w:footnote>
  <w:footnote w:id="86">
    <w:p w:rsidR="00EF5B5D" w:rsidRPr="006755AF" w:rsidRDefault="00EF5B5D">
      <w:pPr>
        <w:pStyle w:val="FootnoteText"/>
      </w:pPr>
      <w:r w:rsidRPr="006755AF">
        <w:rPr>
          <w:rStyle w:val="FootnoteReference"/>
        </w:rPr>
        <w:footnoteRef/>
      </w:r>
      <w:r w:rsidRPr="006755AF">
        <w:t xml:space="preserve"> </w:t>
      </w:r>
      <w:proofErr w:type="gramStart"/>
      <w:r w:rsidRPr="006755AF">
        <w:t>Nie 15-Sep-16 pgs.</w:t>
      </w:r>
      <w:proofErr w:type="gramEnd"/>
      <w:r w:rsidRPr="006755AF">
        <w:t xml:space="preserve"> 75-76</w:t>
      </w:r>
    </w:p>
  </w:footnote>
  <w:footnote w:id="87">
    <w:p w:rsidR="00EF5B5D" w:rsidRPr="006755AF" w:rsidRDefault="00EF5B5D" w:rsidP="005C0C4F">
      <w:pPr>
        <w:pStyle w:val="FootnoteText"/>
      </w:pPr>
      <w:r w:rsidRPr="006755AF">
        <w:rPr>
          <w:rStyle w:val="FootnoteReference"/>
        </w:rPr>
        <w:footnoteRef/>
      </w:r>
      <w:r w:rsidRPr="006755AF">
        <w:t xml:space="preserve"> </w:t>
      </w:r>
      <w:proofErr w:type="gramStart"/>
      <w:r w:rsidRPr="006755AF">
        <w:t>Ibid. pgs.</w:t>
      </w:r>
      <w:proofErr w:type="gramEnd"/>
      <w:r w:rsidRPr="006755AF">
        <w:t xml:space="preserve"> 109-110</w:t>
      </w:r>
    </w:p>
  </w:footnote>
  <w:footnote w:id="88">
    <w:p w:rsidR="00EF5B5D" w:rsidRPr="006755AF" w:rsidRDefault="00EF5B5D" w:rsidP="005C0C4F">
      <w:pPr>
        <w:pStyle w:val="FootnoteText"/>
      </w:pPr>
      <w:r w:rsidRPr="006755AF">
        <w:rPr>
          <w:rStyle w:val="FootnoteReference"/>
        </w:rPr>
        <w:footnoteRef/>
      </w:r>
      <w:r w:rsidRPr="006755AF">
        <w:t xml:space="preserve"> </w:t>
      </w:r>
      <w:proofErr w:type="gramStart"/>
      <w:r w:rsidRPr="006755AF">
        <w:t>Ibid. pgs.</w:t>
      </w:r>
      <w:proofErr w:type="gramEnd"/>
      <w:r w:rsidRPr="006755AF">
        <w:t xml:space="preserve"> 87-89</w:t>
      </w:r>
    </w:p>
  </w:footnote>
  <w:footnote w:id="89">
    <w:p w:rsidR="00EF5B5D" w:rsidRPr="002A35AE" w:rsidRDefault="00EF5B5D" w:rsidP="005C0C4F">
      <w:pPr>
        <w:pStyle w:val="FootnoteText"/>
      </w:pPr>
      <w:r w:rsidRPr="002A35AE">
        <w:rPr>
          <w:rStyle w:val="FootnoteReference"/>
        </w:rPr>
        <w:footnoteRef/>
      </w:r>
      <w:r>
        <w:t xml:space="preserve"> </w:t>
      </w:r>
      <w:proofErr w:type="gramStart"/>
      <w:r>
        <w:t>Ibid. pgs.</w:t>
      </w:r>
      <w:proofErr w:type="gramEnd"/>
      <w:r>
        <w:t xml:space="preserve"> 76-79, Exhibits 223, 224</w:t>
      </w:r>
    </w:p>
  </w:footnote>
  <w:footnote w:id="90">
    <w:p w:rsidR="00EF5B5D" w:rsidRPr="002A35AE" w:rsidRDefault="00EF5B5D" w:rsidP="005C0C4F">
      <w:pPr>
        <w:pStyle w:val="FootnoteText"/>
      </w:pPr>
      <w:r w:rsidRPr="002A35AE">
        <w:rPr>
          <w:rStyle w:val="FootnoteReference"/>
        </w:rPr>
        <w:footnoteRef/>
      </w:r>
      <w:r w:rsidRPr="002A35AE">
        <w:t xml:space="preserve"> </w:t>
      </w:r>
      <w:proofErr w:type="gramStart"/>
      <w:r w:rsidRPr="002A35AE">
        <w:t>Ibid. pgs.</w:t>
      </w:r>
      <w:proofErr w:type="gramEnd"/>
      <w:r w:rsidRPr="002A35AE">
        <w:t xml:space="preserve"> 115-117</w:t>
      </w:r>
    </w:p>
  </w:footnote>
  <w:footnote w:id="91">
    <w:p w:rsidR="00EF5B5D" w:rsidRPr="002A35AE" w:rsidRDefault="00EF5B5D" w:rsidP="00BA1EC0">
      <w:pPr>
        <w:pStyle w:val="FootnoteText"/>
      </w:pPr>
      <w:r w:rsidRPr="002A35AE">
        <w:rPr>
          <w:rStyle w:val="FootnoteReference"/>
        </w:rPr>
        <w:footnoteRef/>
      </w:r>
      <w:r w:rsidRPr="002A35AE">
        <w:t xml:space="preserve"> Nie 15-Sep-16 pg. 90</w:t>
      </w:r>
    </w:p>
  </w:footnote>
  <w:footnote w:id="92">
    <w:p w:rsidR="00EF5B5D" w:rsidRDefault="00EF5B5D" w:rsidP="00BA1EC0">
      <w:pPr>
        <w:pStyle w:val="FootnoteText"/>
      </w:pPr>
      <w:r w:rsidRPr="002A35AE">
        <w:rPr>
          <w:rStyle w:val="FootnoteReference"/>
        </w:rPr>
        <w:footnoteRef/>
      </w:r>
      <w:r w:rsidRPr="002A35AE">
        <w:t xml:space="preserve"> Applicant’s closing submissions para. 123</w:t>
      </w:r>
    </w:p>
  </w:footnote>
  <w:footnote w:id="93">
    <w:p w:rsidR="00EF5B5D" w:rsidRPr="006755AF" w:rsidRDefault="00EF5B5D" w:rsidP="005C0C4F">
      <w:pPr>
        <w:pStyle w:val="FootnoteText"/>
        <w:rPr>
          <w:rFonts w:cstheme="minorHAnsi"/>
        </w:rPr>
      </w:pPr>
      <w:r w:rsidRPr="006755AF">
        <w:rPr>
          <w:rStyle w:val="FootnoteReference"/>
          <w:rFonts w:cstheme="minorHAnsi"/>
        </w:rPr>
        <w:footnoteRef/>
      </w:r>
      <w:r w:rsidRPr="006755AF">
        <w:rPr>
          <w:rFonts w:cstheme="minorHAnsi"/>
        </w:rPr>
        <w:t xml:space="preserve"> Exhibit 141 pg. 2</w:t>
      </w:r>
    </w:p>
  </w:footnote>
  <w:footnote w:id="94">
    <w:p w:rsidR="00EF5B5D" w:rsidRDefault="00EF5B5D">
      <w:pPr>
        <w:pStyle w:val="FootnoteText"/>
      </w:pPr>
      <w:r>
        <w:rPr>
          <w:rStyle w:val="FootnoteReference"/>
        </w:rPr>
        <w:footnoteRef/>
      </w:r>
      <w:r>
        <w:t xml:space="preserve"> Nie 15-Sep-16 pg. 126</w:t>
      </w:r>
    </w:p>
  </w:footnote>
  <w:footnote w:id="95">
    <w:p w:rsidR="00EF5B5D" w:rsidRPr="006755AF" w:rsidRDefault="00EF5B5D">
      <w:pPr>
        <w:pStyle w:val="FootnoteText"/>
      </w:pPr>
      <w:r w:rsidRPr="006755AF">
        <w:rPr>
          <w:rStyle w:val="FootnoteReference"/>
        </w:rPr>
        <w:footnoteRef/>
      </w:r>
      <w:r w:rsidRPr="006755AF">
        <w:t xml:space="preserve"> Exhibit 59</w:t>
      </w:r>
    </w:p>
  </w:footnote>
  <w:footnote w:id="96">
    <w:p w:rsidR="00EF5B5D" w:rsidRPr="006755AF" w:rsidRDefault="00EF5B5D" w:rsidP="00735AEF">
      <w:pPr>
        <w:pStyle w:val="FootnoteText"/>
      </w:pPr>
      <w:r w:rsidRPr="006755AF">
        <w:rPr>
          <w:rStyle w:val="FootnoteReference"/>
        </w:rPr>
        <w:footnoteRef/>
      </w:r>
      <w:r w:rsidRPr="006755AF">
        <w:t xml:space="preserve"> </w:t>
      </w:r>
      <w:proofErr w:type="gramStart"/>
      <w:r w:rsidRPr="006755AF">
        <w:t>Butorac 13-Sep-16 pgs.</w:t>
      </w:r>
      <w:proofErr w:type="gramEnd"/>
      <w:r w:rsidRPr="006755AF">
        <w:t xml:space="preserve"> 48-52</w:t>
      </w:r>
    </w:p>
  </w:footnote>
  <w:footnote w:id="97">
    <w:p w:rsidR="00EF5B5D" w:rsidRPr="006755AF" w:rsidRDefault="00EF5B5D" w:rsidP="00735AEF">
      <w:pPr>
        <w:pStyle w:val="FootnoteText"/>
      </w:pPr>
      <w:r w:rsidRPr="006755AF">
        <w:rPr>
          <w:rStyle w:val="FootnoteReference"/>
        </w:rPr>
        <w:footnoteRef/>
      </w:r>
      <w:r w:rsidRPr="006755AF">
        <w:t xml:space="preserve"> Ibid.</w:t>
      </w:r>
    </w:p>
  </w:footnote>
  <w:footnote w:id="98">
    <w:p w:rsidR="00EF5B5D" w:rsidRPr="006755AF" w:rsidRDefault="00EF5B5D">
      <w:pPr>
        <w:pStyle w:val="FootnoteText"/>
      </w:pPr>
      <w:r w:rsidRPr="006755AF">
        <w:rPr>
          <w:rStyle w:val="FootnoteReference"/>
        </w:rPr>
        <w:footnoteRef/>
      </w:r>
      <w:r>
        <w:t xml:space="preserve"> </w:t>
      </w:r>
      <w:proofErr w:type="gramStart"/>
      <w:r>
        <w:t>Campbell 7-Sep-</w:t>
      </w:r>
      <w:r w:rsidRPr="006755AF">
        <w:t>16 pgs.</w:t>
      </w:r>
      <w:proofErr w:type="gramEnd"/>
      <w:r w:rsidRPr="006755AF">
        <w:t xml:space="preserve"> </w:t>
      </w:r>
      <w:proofErr w:type="gramStart"/>
      <w:r w:rsidRPr="006755AF">
        <w:t>141, 145, 146; Flindall 12 Sep. 2016 pgs.</w:t>
      </w:r>
      <w:proofErr w:type="gramEnd"/>
      <w:r w:rsidRPr="006755AF">
        <w:t xml:space="preserve"> 29, 183 – 184; Exhibits 146, 147</w:t>
      </w:r>
    </w:p>
  </w:footnote>
  <w:footnote w:id="99">
    <w:p w:rsidR="00EF5B5D" w:rsidRDefault="00EF5B5D">
      <w:pPr>
        <w:pStyle w:val="FootnoteText"/>
      </w:pPr>
      <w:r w:rsidRPr="006755AF">
        <w:rPr>
          <w:rStyle w:val="FootnoteReference"/>
        </w:rPr>
        <w:footnoteRef/>
      </w:r>
      <w:r>
        <w:t xml:space="preserve"> Filman 9-Sep-</w:t>
      </w:r>
      <w:r w:rsidRPr="006755AF">
        <w:t>16 p. 199</w:t>
      </w:r>
    </w:p>
  </w:footnote>
  <w:footnote w:id="100">
    <w:p w:rsidR="00EF5B5D" w:rsidRPr="006755AF" w:rsidRDefault="00EF5B5D" w:rsidP="00013D9F">
      <w:pPr>
        <w:pStyle w:val="FootnoteText"/>
      </w:pPr>
      <w:r w:rsidRPr="006755AF">
        <w:rPr>
          <w:rStyle w:val="FootnoteReference"/>
        </w:rPr>
        <w:footnoteRef/>
      </w:r>
      <w:r w:rsidRPr="006755AF">
        <w:t xml:space="preserve"> </w:t>
      </w:r>
      <w:r w:rsidRPr="0067370B">
        <w:t>Exhibits 24 (Appendix A) Tab 1, Exhibits 27, 106</w:t>
      </w:r>
    </w:p>
  </w:footnote>
  <w:footnote w:id="101">
    <w:p w:rsidR="00EF5B5D" w:rsidRDefault="00EF5B5D">
      <w:pPr>
        <w:pStyle w:val="FootnoteText"/>
      </w:pPr>
      <w:r w:rsidRPr="006755AF">
        <w:rPr>
          <w:rStyle w:val="FootnoteReference"/>
        </w:rPr>
        <w:footnoteRef/>
      </w:r>
      <w:r w:rsidRPr="006755AF">
        <w:t xml:space="preserve"> </w:t>
      </w:r>
      <w:proofErr w:type="gramStart"/>
      <w:r w:rsidRPr="006755AF">
        <w:t>Exhibit 24</w:t>
      </w:r>
      <w:r>
        <w:t>, pgs.</w:t>
      </w:r>
      <w:proofErr w:type="gramEnd"/>
      <w:r>
        <w:t xml:space="preserve"> 3 and 4 (Appendix A), Tab 1</w:t>
      </w:r>
    </w:p>
  </w:footnote>
  <w:footnote w:id="102">
    <w:p w:rsidR="00EF5B5D" w:rsidRPr="006755AF" w:rsidRDefault="00EF5B5D" w:rsidP="00051126">
      <w:pPr>
        <w:pStyle w:val="FootnoteText"/>
        <w:rPr>
          <w:lang w:val="en-CA"/>
        </w:rPr>
      </w:pPr>
      <w:r w:rsidRPr="006755AF">
        <w:rPr>
          <w:rStyle w:val="FootnoteReference"/>
        </w:rPr>
        <w:footnoteRef/>
      </w:r>
      <w:r w:rsidRPr="006755AF">
        <w:t xml:space="preserve"> Johnston 9-Feb-16 pg. 41, Campbell 8-Sep-16 pg. 32</w:t>
      </w:r>
    </w:p>
  </w:footnote>
  <w:footnote w:id="103">
    <w:p w:rsidR="00EF5B5D" w:rsidRPr="006755AF" w:rsidRDefault="00EF5B5D" w:rsidP="00051126">
      <w:pPr>
        <w:pStyle w:val="FootnoteText"/>
        <w:rPr>
          <w:lang w:val="en-CA"/>
        </w:rPr>
      </w:pPr>
      <w:r w:rsidRPr="006755AF">
        <w:rPr>
          <w:rStyle w:val="FootnoteReference"/>
        </w:rPr>
        <w:footnoteRef/>
      </w:r>
      <w:r w:rsidRPr="006755AF">
        <w:t xml:space="preserve"> </w:t>
      </w:r>
      <w:proofErr w:type="gramStart"/>
      <w:r w:rsidRPr="006755AF">
        <w:t>Campbell 8-Sep-16 pgs.</w:t>
      </w:r>
      <w:proofErr w:type="gramEnd"/>
      <w:r w:rsidRPr="006755AF">
        <w:t xml:space="preserve"> 21-25, 30-35, Exhibits 99, 155</w:t>
      </w:r>
    </w:p>
  </w:footnote>
  <w:footnote w:id="104">
    <w:p w:rsidR="00EF5B5D" w:rsidRPr="006755AF" w:rsidRDefault="00EF5B5D">
      <w:pPr>
        <w:pStyle w:val="FootnoteText"/>
      </w:pPr>
      <w:r w:rsidRPr="006755AF">
        <w:rPr>
          <w:rStyle w:val="FootnoteReference"/>
        </w:rPr>
        <w:footnoteRef/>
      </w:r>
      <w:r w:rsidRPr="006755AF">
        <w:t xml:space="preserve"> Exhibit 35</w:t>
      </w:r>
    </w:p>
  </w:footnote>
  <w:footnote w:id="105">
    <w:p w:rsidR="00EF5B5D" w:rsidRPr="00015897" w:rsidRDefault="00EF5B5D">
      <w:pPr>
        <w:pStyle w:val="FootnoteText"/>
      </w:pPr>
      <w:r w:rsidRPr="006755AF">
        <w:rPr>
          <w:rStyle w:val="FootnoteReference"/>
        </w:rPr>
        <w:footnoteRef/>
      </w:r>
      <w:r w:rsidRPr="006755AF">
        <w:t xml:space="preserve"> Exhibit 50</w:t>
      </w:r>
    </w:p>
  </w:footnote>
  <w:footnote w:id="106">
    <w:p w:rsidR="00EF5B5D" w:rsidRPr="006755AF" w:rsidRDefault="00EF5B5D">
      <w:pPr>
        <w:pStyle w:val="FootnoteText"/>
        <w:rPr>
          <w:lang w:val="en-CA"/>
        </w:rPr>
      </w:pPr>
      <w:r w:rsidRPr="006755AF">
        <w:rPr>
          <w:rStyle w:val="FootnoteReference"/>
        </w:rPr>
        <w:footnoteRef/>
      </w:r>
      <w:r w:rsidRPr="006755AF">
        <w:t xml:space="preserve"> </w:t>
      </w:r>
      <w:r w:rsidRPr="006755AF">
        <w:rPr>
          <w:lang w:val="en-CA"/>
        </w:rPr>
        <w:t>Butorac 14-Sep-16 pg. 44</w:t>
      </w:r>
    </w:p>
  </w:footnote>
  <w:footnote w:id="107">
    <w:p w:rsidR="00EF5B5D" w:rsidRPr="00676B43" w:rsidRDefault="00EF5B5D">
      <w:pPr>
        <w:pStyle w:val="FootnoteText"/>
      </w:pPr>
      <w:r>
        <w:rPr>
          <w:rStyle w:val="FootnoteReference"/>
        </w:rPr>
        <w:footnoteRef/>
      </w:r>
      <w:r>
        <w:t xml:space="preserve"> </w:t>
      </w:r>
      <w:proofErr w:type="gramStart"/>
      <w:r>
        <w:t>Moran 9-Feb-16 pgs.</w:t>
      </w:r>
      <w:proofErr w:type="gramEnd"/>
      <w:r>
        <w:t xml:space="preserve"> 175-176</w:t>
      </w:r>
    </w:p>
  </w:footnote>
  <w:footnote w:id="108">
    <w:p w:rsidR="00EF5B5D" w:rsidRPr="006755AF" w:rsidRDefault="00EF5B5D">
      <w:pPr>
        <w:pStyle w:val="FootnoteText"/>
      </w:pPr>
      <w:r w:rsidRPr="006755AF">
        <w:rPr>
          <w:rStyle w:val="FootnoteReference"/>
        </w:rPr>
        <w:footnoteRef/>
      </w:r>
      <w:r w:rsidRPr="006755AF">
        <w:t xml:space="preserve"> </w:t>
      </w:r>
      <w:proofErr w:type="gramStart"/>
      <w:r w:rsidRPr="006755AF">
        <w:t>Butorac 14-Sep-16 pgs.</w:t>
      </w:r>
      <w:proofErr w:type="gramEnd"/>
      <w:r w:rsidRPr="006755AF">
        <w:t xml:space="preserve"> 44-45</w:t>
      </w:r>
    </w:p>
  </w:footnote>
  <w:footnote w:id="109">
    <w:p w:rsidR="00EF5B5D" w:rsidRPr="00835FB2" w:rsidRDefault="00EF5B5D">
      <w:pPr>
        <w:pStyle w:val="FootnoteText"/>
      </w:pPr>
      <w:r w:rsidRPr="006755AF">
        <w:rPr>
          <w:rStyle w:val="FootnoteReference"/>
        </w:rPr>
        <w:footnoteRef/>
      </w:r>
      <w:r w:rsidRPr="006755AF">
        <w:t xml:space="preserve"> Exhibit 46</w:t>
      </w:r>
    </w:p>
  </w:footnote>
  <w:footnote w:id="110">
    <w:p w:rsidR="00EF5B5D" w:rsidRPr="006755AF" w:rsidRDefault="00EF5B5D" w:rsidP="00E11099">
      <w:pPr>
        <w:pStyle w:val="FootnoteText"/>
      </w:pPr>
      <w:r w:rsidRPr="006755AF">
        <w:rPr>
          <w:rStyle w:val="FootnoteReference"/>
        </w:rPr>
        <w:footnoteRef/>
      </w:r>
      <w:r w:rsidRPr="006755AF">
        <w:t xml:space="preserve"> </w:t>
      </w:r>
      <w:proofErr w:type="gramStart"/>
      <w:r w:rsidRPr="006755AF">
        <w:t>Exhibit 92, pg. 41 para.</w:t>
      </w:r>
      <w:proofErr w:type="gramEnd"/>
      <w:r w:rsidRPr="006755AF">
        <w:t xml:space="preserve"> 5</w:t>
      </w:r>
    </w:p>
  </w:footnote>
  <w:footnote w:id="111">
    <w:p w:rsidR="00EF5B5D" w:rsidRPr="006755AF" w:rsidRDefault="00EF5B5D" w:rsidP="00835FB2">
      <w:pPr>
        <w:pStyle w:val="FootnoteText"/>
      </w:pPr>
      <w:r w:rsidRPr="006755AF">
        <w:rPr>
          <w:rStyle w:val="FootnoteReference"/>
        </w:rPr>
        <w:footnoteRef/>
      </w:r>
      <w:r w:rsidRPr="006755AF">
        <w:t xml:space="preserve"> Exhibit 53</w:t>
      </w:r>
    </w:p>
  </w:footnote>
  <w:footnote w:id="112">
    <w:p w:rsidR="00EF5B5D" w:rsidRPr="006755AF" w:rsidRDefault="00EF5B5D" w:rsidP="009A504B">
      <w:pPr>
        <w:pStyle w:val="FootnoteText"/>
        <w:rPr>
          <w:lang w:val="en-CA"/>
        </w:rPr>
      </w:pPr>
      <w:r w:rsidRPr="006755AF">
        <w:rPr>
          <w:rStyle w:val="FootnoteReference"/>
        </w:rPr>
        <w:footnoteRef/>
      </w:r>
      <w:r w:rsidRPr="006755AF">
        <w:t xml:space="preserve"> </w:t>
      </w:r>
      <w:r w:rsidRPr="006755AF">
        <w:rPr>
          <w:lang w:val="en-CA"/>
        </w:rPr>
        <w:t xml:space="preserve">Email from </w:t>
      </w:r>
      <w:proofErr w:type="spellStart"/>
      <w:r w:rsidRPr="006755AF">
        <w:rPr>
          <w:lang w:val="en-CA"/>
        </w:rPr>
        <w:t>Blutstein</w:t>
      </w:r>
      <w:proofErr w:type="spellEnd"/>
      <w:r w:rsidRPr="006755AF">
        <w:rPr>
          <w:lang w:val="en-CA"/>
        </w:rPr>
        <w:t xml:space="preserve"> Re Brockley Will-say sent on February 10, 2016 (Appendix A)</w:t>
      </w:r>
      <w:r>
        <w:rPr>
          <w:lang w:val="en-CA"/>
        </w:rPr>
        <w:t>, Tab 2</w:t>
      </w:r>
    </w:p>
  </w:footnote>
  <w:footnote w:id="113">
    <w:p w:rsidR="00EF5B5D" w:rsidRPr="006755AF" w:rsidRDefault="00EF5B5D" w:rsidP="00E906C9">
      <w:pPr>
        <w:pStyle w:val="FootnoteText"/>
        <w:rPr>
          <w:lang w:val="en-CA"/>
        </w:rPr>
      </w:pPr>
      <w:r w:rsidRPr="006755AF">
        <w:rPr>
          <w:rStyle w:val="FootnoteReference"/>
        </w:rPr>
        <w:footnoteRef/>
      </w:r>
      <w:r w:rsidRPr="006755AF">
        <w:t xml:space="preserve"> </w:t>
      </w:r>
      <w:r w:rsidRPr="006755AF">
        <w:rPr>
          <w:lang w:val="en-CA"/>
        </w:rPr>
        <w:t>Brockley's second Will-say sent on February 10, 2016 (Appendix A)</w:t>
      </w:r>
      <w:r>
        <w:rPr>
          <w:lang w:val="en-CA"/>
        </w:rPr>
        <w:t>, Tab 3</w:t>
      </w:r>
    </w:p>
  </w:footnote>
  <w:footnote w:id="114">
    <w:p w:rsidR="00EF5B5D" w:rsidRPr="006755AF" w:rsidRDefault="00EF5B5D">
      <w:pPr>
        <w:pStyle w:val="FootnoteText"/>
      </w:pPr>
      <w:r w:rsidRPr="006755AF">
        <w:rPr>
          <w:rStyle w:val="FootnoteReference"/>
        </w:rPr>
        <w:footnoteRef/>
      </w:r>
      <w:r w:rsidRPr="006755AF">
        <w:t xml:space="preserve"> </w:t>
      </w:r>
      <w:proofErr w:type="gramStart"/>
      <w:r w:rsidRPr="006755AF">
        <w:t>Brockley 11-Feb-16 pgs.</w:t>
      </w:r>
      <w:proofErr w:type="gramEnd"/>
      <w:r w:rsidRPr="006755AF">
        <w:t xml:space="preserve"> 17-18, 25</w:t>
      </w:r>
    </w:p>
  </w:footnote>
  <w:footnote w:id="115">
    <w:p w:rsidR="00EF5B5D" w:rsidRDefault="00EF5B5D">
      <w:pPr>
        <w:pStyle w:val="FootnoteText"/>
      </w:pPr>
      <w:r w:rsidRPr="006755AF">
        <w:rPr>
          <w:rStyle w:val="FootnoteReference"/>
        </w:rPr>
        <w:footnoteRef/>
      </w:r>
      <w:r w:rsidRPr="006755AF">
        <w:t xml:space="preserve"> Exhibit 190</w:t>
      </w:r>
    </w:p>
  </w:footnote>
  <w:footnote w:id="116">
    <w:p w:rsidR="00EF5B5D" w:rsidRPr="006755AF" w:rsidRDefault="00EF5B5D" w:rsidP="00E868C2">
      <w:pPr>
        <w:pStyle w:val="FootnoteText"/>
        <w:rPr>
          <w:lang w:val="en-CA"/>
        </w:rPr>
      </w:pPr>
      <w:r w:rsidRPr="006755AF">
        <w:rPr>
          <w:rStyle w:val="FootnoteReference"/>
        </w:rPr>
        <w:footnoteRef/>
      </w:r>
      <w:r w:rsidRPr="006755AF">
        <w:t xml:space="preserve"> </w:t>
      </w:r>
      <w:proofErr w:type="gramStart"/>
      <w:r>
        <w:t>Brockley 11-Feb-16</w:t>
      </w:r>
      <w:r w:rsidRPr="006755AF">
        <w:rPr>
          <w:lang w:val="en-CA"/>
        </w:rPr>
        <w:t xml:space="preserve"> pgs.</w:t>
      </w:r>
      <w:proofErr w:type="gramEnd"/>
      <w:r w:rsidRPr="006755AF">
        <w:rPr>
          <w:lang w:val="en-CA"/>
        </w:rPr>
        <w:t xml:space="preserve"> 28-29</w:t>
      </w:r>
    </w:p>
  </w:footnote>
  <w:footnote w:id="117">
    <w:p w:rsidR="00EF5B5D" w:rsidRPr="006755AF" w:rsidRDefault="00EF5B5D" w:rsidP="00072A3F">
      <w:pPr>
        <w:pStyle w:val="FootnoteText"/>
      </w:pPr>
      <w:r w:rsidRPr="006755AF">
        <w:rPr>
          <w:rStyle w:val="FootnoteReference"/>
        </w:rPr>
        <w:footnoteRef/>
      </w:r>
      <w:r w:rsidRPr="006755AF">
        <w:t xml:space="preserve"> </w:t>
      </w:r>
      <w:proofErr w:type="gramStart"/>
      <w:r>
        <w:t>Ibid</w:t>
      </w:r>
      <w:r w:rsidRPr="006755AF">
        <w:t xml:space="preserve"> pgs.</w:t>
      </w:r>
      <w:proofErr w:type="gramEnd"/>
      <w:r w:rsidRPr="006755AF">
        <w:t xml:space="preserve"> 17-18</w:t>
      </w:r>
    </w:p>
  </w:footnote>
  <w:footnote w:id="118">
    <w:p w:rsidR="00EF5B5D" w:rsidRPr="006755AF" w:rsidRDefault="00EF5B5D" w:rsidP="00072A3F">
      <w:pPr>
        <w:pStyle w:val="FootnoteText"/>
        <w:rPr>
          <w:lang w:val="en-CA"/>
        </w:rPr>
      </w:pPr>
      <w:r w:rsidRPr="006755AF">
        <w:rPr>
          <w:rStyle w:val="FootnoteReference"/>
        </w:rPr>
        <w:footnoteRef/>
      </w:r>
      <w:r w:rsidRPr="006755AF">
        <w:t xml:space="preserve"> </w:t>
      </w:r>
      <w:r w:rsidRPr="006755AF">
        <w:rPr>
          <w:lang w:val="en-CA"/>
        </w:rPr>
        <w:t>Brockley's second Will-say sent on February 10, 2016 (Appendix A)</w:t>
      </w:r>
      <w:r>
        <w:rPr>
          <w:lang w:val="en-CA"/>
        </w:rPr>
        <w:t>, Tab 3</w:t>
      </w:r>
    </w:p>
  </w:footnote>
  <w:footnote w:id="119">
    <w:p w:rsidR="00EF5B5D" w:rsidRPr="006755AF" w:rsidRDefault="00EF5B5D" w:rsidP="009E38DD">
      <w:pPr>
        <w:pStyle w:val="FootnoteText"/>
      </w:pPr>
      <w:r w:rsidRPr="006755AF">
        <w:rPr>
          <w:rStyle w:val="FootnoteReference"/>
        </w:rPr>
        <w:footnoteRef/>
      </w:r>
      <w:r w:rsidRPr="006755AF">
        <w:t xml:space="preserve"> Brockley 11-Feb-16 pg. 25</w:t>
      </w:r>
    </w:p>
  </w:footnote>
  <w:footnote w:id="120">
    <w:p w:rsidR="00EF5B5D" w:rsidRPr="006755AF" w:rsidRDefault="00EF5B5D">
      <w:pPr>
        <w:pStyle w:val="FootnoteText"/>
      </w:pPr>
      <w:r w:rsidRPr="006755AF">
        <w:rPr>
          <w:rStyle w:val="FootnoteReference"/>
        </w:rPr>
        <w:footnoteRef/>
      </w:r>
      <w:r w:rsidRPr="006755AF">
        <w:t xml:space="preserve"> Exhibit 187</w:t>
      </w:r>
    </w:p>
  </w:footnote>
  <w:footnote w:id="121">
    <w:p w:rsidR="00EF5B5D" w:rsidRPr="006755AF" w:rsidRDefault="00EF5B5D">
      <w:pPr>
        <w:pStyle w:val="FootnoteText"/>
      </w:pPr>
      <w:r w:rsidRPr="006755AF">
        <w:rPr>
          <w:rStyle w:val="FootnoteReference"/>
        </w:rPr>
        <w:footnoteRef/>
      </w:r>
      <w:r w:rsidRPr="006755AF">
        <w:t xml:space="preserve"> Exhibit 118</w:t>
      </w:r>
    </w:p>
  </w:footnote>
  <w:footnote w:id="122">
    <w:p w:rsidR="00EF5B5D" w:rsidRPr="00532055" w:rsidRDefault="00EF5B5D">
      <w:pPr>
        <w:pStyle w:val="FootnoteText"/>
        <w:rPr>
          <w:lang w:val="en-CA"/>
        </w:rPr>
      </w:pPr>
      <w:r w:rsidRPr="006755AF">
        <w:rPr>
          <w:rStyle w:val="FootnoteReference"/>
        </w:rPr>
        <w:footnoteRef/>
      </w:r>
      <w:r w:rsidRPr="006755AF">
        <w:t xml:space="preserve"> </w:t>
      </w:r>
      <w:r w:rsidRPr="006755AF">
        <w:rPr>
          <w:lang w:val="en-CA"/>
        </w:rPr>
        <w:t>Exhibit 135</w:t>
      </w:r>
    </w:p>
  </w:footnote>
  <w:footnote w:id="123">
    <w:p w:rsidR="00EF5B5D" w:rsidRDefault="00EF5B5D">
      <w:pPr>
        <w:pStyle w:val="FootnoteText"/>
      </w:pPr>
      <w:r>
        <w:rPr>
          <w:rStyle w:val="FootnoteReference"/>
        </w:rPr>
        <w:footnoteRef/>
      </w:r>
      <w:r>
        <w:t xml:space="preserve"> </w:t>
      </w:r>
      <w:proofErr w:type="gramStart"/>
      <w:r>
        <w:t>Exhibit 92 pgs.</w:t>
      </w:r>
      <w:proofErr w:type="gramEnd"/>
      <w:r>
        <w:t xml:space="preserve"> 48-50</w:t>
      </w:r>
    </w:p>
  </w:footnote>
  <w:footnote w:id="124">
    <w:p w:rsidR="00EF5B5D" w:rsidRPr="006755AF" w:rsidRDefault="00EF5B5D" w:rsidP="00F50B7A">
      <w:pPr>
        <w:pStyle w:val="FootnoteText"/>
      </w:pPr>
      <w:r w:rsidRPr="006755AF">
        <w:rPr>
          <w:rStyle w:val="FootnoteReference"/>
        </w:rPr>
        <w:footnoteRef/>
      </w:r>
      <w:r w:rsidRPr="006755AF">
        <w:t xml:space="preserve"> Exhibit 11</w:t>
      </w:r>
    </w:p>
  </w:footnote>
  <w:footnote w:id="125">
    <w:p w:rsidR="00EF5B5D" w:rsidRPr="006755AF" w:rsidRDefault="00EF5B5D" w:rsidP="00532055">
      <w:pPr>
        <w:pStyle w:val="FootnoteText"/>
      </w:pPr>
      <w:r w:rsidRPr="006755AF">
        <w:rPr>
          <w:rStyle w:val="FootnoteReference"/>
        </w:rPr>
        <w:footnoteRef/>
      </w:r>
      <w:r w:rsidRPr="006755AF">
        <w:t xml:space="preserve"> </w:t>
      </w:r>
      <w:r>
        <w:t>Email</w:t>
      </w:r>
      <w:r w:rsidR="00334627">
        <w:t xml:space="preserve"> with </w:t>
      </w:r>
      <w:bookmarkStart w:id="0" w:name="_GoBack"/>
      <w:bookmarkEnd w:id="0"/>
      <w:r w:rsidRPr="006755AF">
        <w:t>Issues to be addressed at February 25, 2016, CMTC (Appendix A)</w:t>
      </w:r>
      <w:r>
        <w:t>, Tab 4</w:t>
      </w:r>
    </w:p>
  </w:footnote>
  <w:footnote w:id="126">
    <w:p w:rsidR="00EF5B5D" w:rsidRPr="006755AF" w:rsidRDefault="00EF5B5D">
      <w:pPr>
        <w:pStyle w:val="FootnoteText"/>
      </w:pPr>
      <w:r w:rsidRPr="006755AF">
        <w:rPr>
          <w:rStyle w:val="FootnoteReference"/>
        </w:rPr>
        <w:footnoteRef/>
      </w:r>
      <w:r w:rsidRPr="006755AF">
        <w:t xml:space="preserve"> </w:t>
      </w:r>
      <w:proofErr w:type="gramStart"/>
      <w:r w:rsidRPr="006755AF">
        <w:t>Flindall 12-Sep-16 pgs.</w:t>
      </w:r>
      <w:proofErr w:type="gramEnd"/>
      <w:r w:rsidRPr="006755AF">
        <w:t xml:space="preserve"> 157-160, 172-175, Exhibit 102, 192</w:t>
      </w:r>
    </w:p>
  </w:footnote>
  <w:footnote w:id="127">
    <w:p w:rsidR="00EF5B5D" w:rsidRPr="006755AF" w:rsidRDefault="00EF5B5D">
      <w:pPr>
        <w:pStyle w:val="FootnoteText"/>
      </w:pPr>
      <w:r w:rsidRPr="006755AF">
        <w:rPr>
          <w:rStyle w:val="FootnoteReference"/>
        </w:rPr>
        <w:footnoteRef/>
      </w:r>
      <w:r w:rsidRPr="006755AF">
        <w:t xml:space="preserve"> Exhibit 54</w:t>
      </w:r>
    </w:p>
  </w:footnote>
  <w:footnote w:id="128">
    <w:p w:rsidR="00EF5B5D" w:rsidRPr="006755AF" w:rsidRDefault="00EF5B5D" w:rsidP="00840521">
      <w:pPr>
        <w:pStyle w:val="FootnoteText"/>
      </w:pPr>
      <w:r w:rsidRPr="006755AF">
        <w:rPr>
          <w:rStyle w:val="FootnoteReference"/>
        </w:rPr>
        <w:footnoteRef/>
      </w:r>
      <w:r w:rsidRPr="006755AF">
        <w:t xml:space="preserve"> </w:t>
      </w:r>
      <w:proofErr w:type="gramStart"/>
      <w:r w:rsidRPr="006755AF">
        <w:rPr>
          <w:rFonts w:cstheme="minorHAnsi"/>
        </w:rPr>
        <w:t>Campbell 8-Sep-16 pgs.</w:t>
      </w:r>
      <w:proofErr w:type="gramEnd"/>
      <w:r w:rsidRPr="006755AF">
        <w:rPr>
          <w:rFonts w:cstheme="minorHAnsi"/>
        </w:rPr>
        <w:t xml:space="preserve"> 68-71, Exhibit 100</w:t>
      </w:r>
    </w:p>
  </w:footnote>
  <w:footnote w:id="129">
    <w:p w:rsidR="00EF5B5D" w:rsidRPr="006755AF" w:rsidRDefault="00EF5B5D" w:rsidP="00840521">
      <w:pPr>
        <w:pStyle w:val="FootnoteText"/>
        <w:rPr>
          <w:lang w:val="en-CA"/>
        </w:rPr>
      </w:pPr>
      <w:r w:rsidRPr="006755AF">
        <w:rPr>
          <w:rStyle w:val="FootnoteReference"/>
        </w:rPr>
        <w:footnoteRef/>
      </w:r>
      <w:r w:rsidRPr="006755AF">
        <w:t xml:space="preserve"> </w:t>
      </w:r>
      <w:proofErr w:type="gramStart"/>
      <w:r w:rsidRPr="006755AF">
        <w:rPr>
          <w:lang w:val="en-CA"/>
        </w:rPr>
        <w:t>Flindall 12-Sep-16 pgs.</w:t>
      </w:r>
      <w:proofErr w:type="gramEnd"/>
      <w:r w:rsidRPr="006755AF">
        <w:rPr>
          <w:lang w:val="en-CA"/>
        </w:rPr>
        <w:t xml:space="preserve"> 161-170, Exhibit 191</w:t>
      </w:r>
    </w:p>
  </w:footnote>
  <w:footnote w:id="130">
    <w:p w:rsidR="00EF5B5D" w:rsidRPr="006755AF" w:rsidRDefault="00EF5B5D" w:rsidP="00ED6350">
      <w:pPr>
        <w:pStyle w:val="FootnoteText"/>
        <w:rPr>
          <w:rFonts w:cstheme="minorHAnsi"/>
        </w:rPr>
      </w:pPr>
      <w:r w:rsidRPr="006755AF">
        <w:rPr>
          <w:rStyle w:val="FootnoteReference"/>
          <w:rFonts w:cstheme="minorHAnsi"/>
        </w:rPr>
        <w:footnoteRef/>
      </w:r>
      <w:r w:rsidRPr="006755AF">
        <w:rPr>
          <w:rFonts w:cstheme="minorHAnsi"/>
        </w:rPr>
        <w:t xml:space="preserve"> </w:t>
      </w:r>
      <w:proofErr w:type="gramStart"/>
      <w:r w:rsidRPr="00ED6350">
        <w:rPr>
          <w:rFonts w:cstheme="minorHAnsi"/>
        </w:rPr>
        <w:t>Brockley 11-Feb-16 pg. 21</w:t>
      </w:r>
      <w:r>
        <w:rPr>
          <w:rFonts w:cstheme="minorHAnsi"/>
        </w:rPr>
        <w:t xml:space="preserve">, </w:t>
      </w:r>
      <w:r w:rsidRPr="006755AF">
        <w:rPr>
          <w:rFonts w:cstheme="minorHAnsi"/>
        </w:rPr>
        <w:t>Campbell 8-Sep-16 pgs.</w:t>
      </w:r>
      <w:proofErr w:type="gramEnd"/>
      <w:r w:rsidRPr="006755AF">
        <w:rPr>
          <w:rFonts w:cstheme="minorHAnsi"/>
        </w:rPr>
        <w:t xml:space="preserve"> 77-78, Fl</w:t>
      </w:r>
      <w:r>
        <w:rPr>
          <w:rFonts w:cstheme="minorHAnsi"/>
        </w:rPr>
        <w:t xml:space="preserve">indall 13-Sep-16 pg. 209, </w:t>
      </w:r>
      <w:r w:rsidRPr="006755AF">
        <w:rPr>
          <w:rFonts w:cstheme="minorHAnsi"/>
        </w:rPr>
        <w:t>Exhibits 158, 213</w:t>
      </w:r>
    </w:p>
  </w:footnote>
  <w:footnote w:id="131">
    <w:p w:rsidR="00EF5B5D" w:rsidRPr="006755AF" w:rsidRDefault="00EF5B5D" w:rsidP="00ED6350">
      <w:pPr>
        <w:pStyle w:val="FootnoteText"/>
      </w:pPr>
      <w:r w:rsidRPr="006755AF">
        <w:rPr>
          <w:rStyle w:val="FootnoteReference"/>
        </w:rPr>
        <w:footnoteRef/>
      </w:r>
      <w:r w:rsidRPr="006755AF">
        <w:t xml:space="preserve"> </w:t>
      </w:r>
      <w:r w:rsidRPr="006755AF">
        <w:rPr>
          <w:rFonts w:cstheme="minorHAnsi"/>
        </w:rPr>
        <w:t>Kohen 11-Feb-16 pg. 144, Exhibit 125 pg. 1</w:t>
      </w:r>
    </w:p>
  </w:footnote>
  <w:footnote w:id="132">
    <w:p w:rsidR="00EF5B5D" w:rsidRPr="00E93AC4" w:rsidRDefault="00EF5B5D">
      <w:pPr>
        <w:pStyle w:val="FootnoteText"/>
        <w:rPr>
          <w:lang w:val="en-CA"/>
        </w:rPr>
      </w:pPr>
      <w:r w:rsidRPr="006755AF">
        <w:rPr>
          <w:rStyle w:val="FootnoteReference"/>
        </w:rPr>
        <w:footnoteRef/>
      </w:r>
      <w:r w:rsidRPr="006755AF">
        <w:t xml:space="preserve"> </w:t>
      </w:r>
      <w:r w:rsidRPr="006755AF">
        <w:rPr>
          <w:lang w:val="en-CA"/>
        </w:rPr>
        <w:t xml:space="preserve">Stevenson </w:t>
      </w:r>
      <w:r w:rsidRPr="006755AF">
        <w:t>12-Feb-16 pg. 25</w:t>
      </w:r>
    </w:p>
  </w:footnote>
  <w:footnote w:id="133">
    <w:p w:rsidR="00EF5B5D" w:rsidRPr="006755AF" w:rsidRDefault="00EF5B5D" w:rsidP="00AC011A">
      <w:pPr>
        <w:pStyle w:val="FootnoteText"/>
        <w:rPr>
          <w:lang w:val="en-CA"/>
        </w:rPr>
      </w:pPr>
      <w:r w:rsidRPr="006755AF">
        <w:rPr>
          <w:rStyle w:val="FootnoteReference"/>
        </w:rPr>
        <w:footnoteRef/>
      </w:r>
      <w:r w:rsidRPr="006755AF">
        <w:t xml:space="preserve"> </w:t>
      </w:r>
      <w:proofErr w:type="gramStart"/>
      <w:r w:rsidRPr="006755AF">
        <w:rPr>
          <w:lang w:val="en-CA"/>
        </w:rPr>
        <w:t>Exhibit 92 pg. 41 para.</w:t>
      </w:r>
      <w:proofErr w:type="gramEnd"/>
      <w:r w:rsidRPr="006755AF">
        <w:rPr>
          <w:lang w:val="en-CA"/>
        </w:rPr>
        <w:t xml:space="preserve"> 5</w:t>
      </w:r>
    </w:p>
  </w:footnote>
  <w:footnote w:id="134">
    <w:p w:rsidR="00EF5B5D" w:rsidRPr="006755AF" w:rsidRDefault="00EF5B5D" w:rsidP="00AC011A">
      <w:pPr>
        <w:pStyle w:val="FootnoteText"/>
        <w:rPr>
          <w:rFonts w:cstheme="minorHAnsi"/>
        </w:rPr>
      </w:pPr>
      <w:r w:rsidRPr="006755AF">
        <w:rPr>
          <w:rStyle w:val="FootnoteReference"/>
          <w:rFonts w:cstheme="minorHAnsi"/>
        </w:rPr>
        <w:footnoteRef/>
      </w:r>
      <w:r w:rsidRPr="006755AF">
        <w:rPr>
          <w:rFonts w:cstheme="minorHAnsi"/>
        </w:rPr>
        <w:t xml:space="preserve"> </w:t>
      </w:r>
      <w:proofErr w:type="gramStart"/>
      <w:r w:rsidRPr="006755AF">
        <w:rPr>
          <w:rFonts w:cstheme="minorHAnsi"/>
        </w:rPr>
        <w:t>Butorac 14-Sep-16 pgs.</w:t>
      </w:r>
      <w:proofErr w:type="gramEnd"/>
      <w:r w:rsidRPr="006755AF">
        <w:rPr>
          <w:rFonts w:cstheme="minorHAnsi"/>
        </w:rPr>
        <w:t xml:space="preserve"> 60-62</w:t>
      </w:r>
    </w:p>
  </w:footnote>
  <w:footnote w:id="135">
    <w:p w:rsidR="00EF5B5D" w:rsidRPr="006755AF" w:rsidRDefault="00EF5B5D">
      <w:pPr>
        <w:pStyle w:val="FootnoteText"/>
      </w:pPr>
      <w:r w:rsidRPr="006755AF">
        <w:rPr>
          <w:rStyle w:val="FootnoteReference"/>
        </w:rPr>
        <w:footnoteRef/>
      </w:r>
      <w:r w:rsidRPr="006755AF">
        <w:t xml:space="preserve"> Ibid p. 62 l. 1 - 12</w:t>
      </w:r>
    </w:p>
  </w:footnote>
  <w:footnote w:id="136">
    <w:p w:rsidR="00EF5B5D" w:rsidRPr="00AC011A" w:rsidRDefault="00EF5B5D">
      <w:pPr>
        <w:pStyle w:val="FootnoteText"/>
      </w:pPr>
      <w:r w:rsidRPr="006755AF">
        <w:rPr>
          <w:rStyle w:val="FootnoteReference"/>
        </w:rPr>
        <w:footnoteRef/>
      </w:r>
      <w:r w:rsidRPr="006755AF">
        <w:t xml:space="preserve"> </w:t>
      </w:r>
      <w:r>
        <w:t>Applicant</w:t>
      </w:r>
      <w:r w:rsidRPr="006755AF">
        <w:t>’s opening address</w:t>
      </w:r>
    </w:p>
  </w:footnote>
  <w:footnote w:id="137">
    <w:p w:rsidR="00EF5B5D" w:rsidRPr="006755AF" w:rsidRDefault="00EF5B5D" w:rsidP="00A33473">
      <w:pPr>
        <w:pStyle w:val="FootnoteText"/>
        <w:rPr>
          <w:lang w:val="en-CA"/>
        </w:rPr>
      </w:pPr>
      <w:r w:rsidRPr="006755AF">
        <w:rPr>
          <w:rStyle w:val="FootnoteReference"/>
        </w:rPr>
        <w:footnoteRef/>
      </w:r>
      <w:r w:rsidRPr="006755AF">
        <w:t xml:space="preserve"> </w:t>
      </w:r>
      <w:proofErr w:type="gramStart"/>
      <w:r w:rsidRPr="006755AF">
        <w:rPr>
          <w:lang w:val="en-CA"/>
        </w:rPr>
        <w:t>Ibid. pgs.</w:t>
      </w:r>
      <w:proofErr w:type="gramEnd"/>
      <w:r w:rsidRPr="006755AF">
        <w:rPr>
          <w:lang w:val="en-CA"/>
        </w:rPr>
        <w:t xml:space="preserve"> 79-80</w:t>
      </w:r>
    </w:p>
  </w:footnote>
  <w:footnote w:id="138">
    <w:p w:rsidR="00EF5B5D" w:rsidRPr="006755AF" w:rsidRDefault="00EF5B5D" w:rsidP="00A33473">
      <w:pPr>
        <w:pStyle w:val="FootnoteText"/>
        <w:rPr>
          <w:lang w:val="en-CA"/>
        </w:rPr>
      </w:pPr>
      <w:r w:rsidRPr="006755AF">
        <w:rPr>
          <w:rStyle w:val="FootnoteReference"/>
        </w:rPr>
        <w:footnoteRef/>
      </w:r>
      <w:r w:rsidRPr="006755AF">
        <w:t xml:space="preserve"> </w:t>
      </w:r>
      <w:proofErr w:type="gramStart"/>
      <w:r w:rsidRPr="006755AF">
        <w:rPr>
          <w:lang w:val="en-CA"/>
        </w:rPr>
        <w:t>Exhibit 92 pg. 51 para.</w:t>
      </w:r>
      <w:proofErr w:type="gramEnd"/>
      <w:r w:rsidRPr="006755AF">
        <w:rPr>
          <w:lang w:val="en-CA"/>
        </w:rPr>
        <w:t xml:space="preserve"> 1</w:t>
      </w:r>
    </w:p>
  </w:footnote>
  <w:footnote w:id="139">
    <w:p w:rsidR="00EF5B5D" w:rsidRPr="006755AF" w:rsidRDefault="00EF5B5D" w:rsidP="001429F2">
      <w:pPr>
        <w:pStyle w:val="FootnoteText"/>
      </w:pPr>
      <w:r w:rsidRPr="006755AF">
        <w:rPr>
          <w:rStyle w:val="FootnoteReference"/>
        </w:rPr>
        <w:footnoteRef/>
      </w:r>
      <w:r w:rsidRPr="006755AF">
        <w:t xml:space="preserve"> </w:t>
      </w:r>
      <w:proofErr w:type="gramStart"/>
      <w:r w:rsidRPr="006755AF">
        <w:t>Butorac 14-Sep-16 pgs.</w:t>
      </w:r>
      <w:proofErr w:type="gramEnd"/>
      <w:r w:rsidRPr="006755AF">
        <w:t xml:space="preserve"> 63-68</w:t>
      </w:r>
    </w:p>
  </w:footnote>
  <w:footnote w:id="140">
    <w:p w:rsidR="00EF5B5D" w:rsidRPr="006755AF" w:rsidRDefault="00EF5B5D" w:rsidP="00D16F07">
      <w:pPr>
        <w:pStyle w:val="FootnoteText"/>
      </w:pPr>
      <w:r w:rsidRPr="006755AF">
        <w:rPr>
          <w:rStyle w:val="FootnoteReference"/>
        </w:rPr>
        <w:footnoteRef/>
      </w:r>
      <w:r w:rsidRPr="006755AF">
        <w:t xml:space="preserve"> Ibid pg. 64</w:t>
      </w:r>
    </w:p>
  </w:footnote>
  <w:footnote w:id="141">
    <w:p w:rsidR="00EF5B5D" w:rsidRDefault="00EF5B5D">
      <w:pPr>
        <w:pStyle w:val="FootnoteText"/>
      </w:pPr>
      <w:r w:rsidRPr="006755AF">
        <w:rPr>
          <w:rStyle w:val="FootnoteReference"/>
        </w:rPr>
        <w:footnoteRef/>
      </w:r>
      <w:r w:rsidRPr="006755AF">
        <w:t xml:space="preserve"> Exhibit 164</w:t>
      </w:r>
    </w:p>
  </w:footnote>
  <w:footnote w:id="142">
    <w:p w:rsidR="00EF5B5D" w:rsidRPr="006755AF" w:rsidRDefault="00EF5B5D">
      <w:pPr>
        <w:pStyle w:val="FootnoteText"/>
        <w:rPr>
          <w:lang w:val="en-CA"/>
        </w:rPr>
      </w:pPr>
      <w:r w:rsidRPr="006755AF">
        <w:rPr>
          <w:rStyle w:val="FootnoteReference"/>
        </w:rPr>
        <w:footnoteRef/>
      </w:r>
      <w:r w:rsidRPr="006755AF">
        <w:t xml:space="preserve"> </w:t>
      </w:r>
      <w:proofErr w:type="gramStart"/>
      <w:r w:rsidRPr="006755AF">
        <w:rPr>
          <w:lang w:val="en-CA"/>
        </w:rPr>
        <w:t>Brockley 11-Feb-16 pgs.</w:t>
      </w:r>
      <w:proofErr w:type="gramEnd"/>
      <w:r w:rsidRPr="006755AF">
        <w:rPr>
          <w:lang w:val="en-CA"/>
        </w:rPr>
        <w:t xml:space="preserve"> 19-21</w:t>
      </w:r>
    </w:p>
  </w:footnote>
  <w:footnote w:id="143">
    <w:p w:rsidR="00EF5B5D" w:rsidRPr="006755AF" w:rsidRDefault="00EF5B5D">
      <w:pPr>
        <w:pStyle w:val="FootnoteText"/>
        <w:rPr>
          <w:lang w:val="en-CA"/>
        </w:rPr>
      </w:pPr>
      <w:r w:rsidRPr="006755AF">
        <w:rPr>
          <w:rStyle w:val="FootnoteReference"/>
        </w:rPr>
        <w:footnoteRef/>
      </w:r>
      <w:r w:rsidRPr="006755AF">
        <w:t xml:space="preserve"> </w:t>
      </w:r>
      <w:proofErr w:type="gramStart"/>
      <w:r w:rsidRPr="006755AF">
        <w:rPr>
          <w:lang w:val="en-CA"/>
        </w:rPr>
        <w:t>Stevenson 12-Feb-16 pgs.</w:t>
      </w:r>
      <w:proofErr w:type="gramEnd"/>
      <w:r w:rsidRPr="006755AF">
        <w:rPr>
          <w:lang w:val="en-CA"/>
        </w:rPr>
        <w:t xml:space="preserve"> 25, 30-32, 37, </w:t>
      </w:r>
      <w:r w:rsidRPr="006755AF">
        <w:t>Armstrong 12-Feb-16 pg. 95</w:t>
      </w:r>
      <w:r>
        <w:t>-97</w:t>
      </w:r>
    </w:p>
  </w:footnote>
  <w:footnote w:id="144">
    <w:p w:rsidR="00EF5B5D" w:rsidRPr="006755AF" w:rsidRDefault="00EF5B5D">
      <w:pPr>
        <w:pStyle w:val="FootnoteText"/>
      </w:pPr>
      <w:r w:rsidRPr="006755AF">
        <w:rPr>
          <w:rStyle w:val="FootnoteReference"/>
        </w:rPr>
        <w:footnoteRef/>
      </w:r>
      <w:r w:rsidRPr="006755AF">
        <w:t xml:space="preserve"> Armstrong 12-Feb-16 pg. 95</w:t>
      </w:r>
    </w:p>
  </w:footnote>
  <w:footnote w:id="145">
    <w:p w:rsidR="00EF5B5D" w:rsidRPr="00A73A0B" w:rsidRDefault="00EF5B5D" w:rsidP="00853E7E">
      <w:pPr>
        <w:pStyle w:val="FootnoteText"/>
        <w:rPr>
          <w:lang w:val="en-CA"/>
        </w:rPr>
      </w:pPr>
      <w:r w:rsidRPr="006755AF">
        <w:rPr>
          <w:rStyle w:val="FootnoteReference"/>
        </w:rPr>
        <w:footnoteRef/>
      </w:r>
      <w:r w:rsidRPr="006755AF">
        <w:t xml:space="preserve"> </w:t>
      </w:r>
      <w:proofErr w:type="gramStart"/>
      <w:r w:rsidRPr="00853E7E">
        <w:rPr>
          <w:lang w:val="en-CA"/>
        </w:rPr>
        <w:t>Stevenson 12-Feb-16 pgs.</w:t>
      </w:r>
      <w:proofErr w:type="gramEnd"/>
      <w:r w:rsidRPr="00853E7E">
        <w:rPr>
          <w:lang w:val="en-CA"/>
        </w:rPr>
        <w:t xml:space="preserve"> </w:t>
      </w:r>
      <w:r w:rsidRPr="006755AF">
        <w:rPr>
          <w:lang w:val="en-CA"/>
        </w:rPr>
        <w:t>30-32</w:t>
      </w:r>
      <w:r>
        <w:rPr>
          <w:lang w:val="en-CA"/>
        </w:rPr>
        <w:t xml:space="preserve">, </w:t>
      </w:r>
      <w:r w:rsidRPr="00853E7E">
        <w:rPr>
          <w:lang w:val="en-CA"/>
        </w:rPr>
        <w:t>66, 68</w:t>
      </w:r>
    </w:p>
  </w:footnote>
  <w:footnote w:id="146">
    <w:p w:rsidR="00EF5B5D" w:rsidRDefault="00EF5B5D">
      <w:pPr>
        <w:pStyle w:val="FootnoteText"/>
      </w:pPr>
      <w:r>
        <w:rPr>
          <w:rStyle w:val="FootnoteReference"/>
        </w:rPr>
        <w:footnoteRef/>
      </w:r>
      <w:r>
        <w:t xml:space="preserve"> Johnston 9-Feb-16 pg. 141</w:t>
      </w:r>
    </w:p>
  </w:footnote>
  <w:footnote w:id="147">
    <w:p w:rsidR="00EF5B5D" w:rsidRPr="006755AF" w:rsidRDefault="00EF5B5D" w:rsidP="007A7298">
      <w:pPr>
        <w:pStyle w:val="FootnoteText"/>
        <w:rPr>
          <w:highlight w:val="yellow"/>
          <w:lang w:val="en-CA"/>
        </w:rPr>
      </w:pPr>
      <w:r w:rsidRPr="007A7298">
        <w:rPr>
          <w:rStyle w:val="FootnoteReference"/>
        </w:rPr>
        <w:footnoteRef/>
      </w:r>
      <w:r w:rsidRPr="007A7298">
        <w:t xml:space="preserve"> </w:t>
      </w:r>
      <w:proofErr w:type="gramStart"/>
      <w:r w:rsidRPr="007A7298">
        <w:rPr>
          <w:lang w:val="en-CA"/>
        </w:rPr>
        <w:t>Exhibit 92 pg. 51</w:t>
      </w:r>
      <w:r>
        <w:rPr>
          <w:lang w:val="en-CA"/>
        </w:rPr>
        <w:t xml:space="preserve"> para.</w:t>
      </w:r>
      <w:proofErr w:type="gramEnd"/>
      <w:r>
        <w:rPr>
          <w:lang w:val="en-CA"/>
        </w:rPr>
        <w:t xml:space="preserve"> 2, Exhibit 46 pgs. 3-4</w:t>
      </w:r>
    </w:p>
  </w:footnote>
  <w:footnote w:id="148">
    <w:p w:rsidR="00EF5B5D" w:rsidRPr="006755AF" w:rsidRDefault="00EF5B5D" w:rsidP="00500D2F">
      <w:pPr>
        <w:pStyle w:val="FootnoteText"/>
        <w:rPr>
          <w:lang w:val="en-CA"/>
        </w:rPr>
      </w:pPr>
      <w:r w:rsidRPr="00500D2F">
        <w:rPr>
          <w:rStyle w:val="FootnoteReference"/>
        </w:rPr>
        <w:footnoteRef/>
      </w:r>
      <w:r w:rsidRPr="00500D2F">
        <w:t xml:space="preserve"> Campbell 8-Sep-16 pg. 102</w:t>
      </w:r>
    </w:p>
  </w:footnote>
  <w:footnote w:id="149">
    <w:p w:rsidR="00EF5B5D" w:rsidRPr="006755AF" w:rsidRDefault="00EF5B5D" w:rsidP="00643C19">
      <w:pPr>
        <w:pStyle w:val="FootnoteText"/>
      </w:pPr>
      <w:r w:rsidRPr="006755AF">
        <w:rPr>
          <w:rStyle w:val="FootnoteReference"/>
        </w:rPr>
        <w:footnoteRef/>
      </w:r>
      <w:r w:rsidRPr="006755AF">
        <w:t xml:space="preserve"> Exhibit 220</w:t>
      </w:r>
    </w:p>
  </w:footnote>
  <w:footnote w:id="150">
    <w:p w:rsidR="00EF5B5D" w:rsidRPr="00643C19" w:rsidRDefault="00EF5B5D" w:rsidP="00643C19">
      <w:pPr>
        <w:pStyle w:val="FootnoteText"/>
      </w:pPr>
      <w:r>
        <w:rPr>
          <w:rStyle w:val="FootnoteReference"/>
        </w:rPr>
        <w:footnoteRef/>
      </w:r>
      <w:r>
        <w:t xml:space="preserve"> Exhibit 124</w:t>
      </w:r>
    </w:p>
  </w:footnote>
  <w:footnote w:id="151">
    <w:p w:rsidR="00EF5B5D" w:rsidRPr="00643C19" w:rsidRDefault="00EF5B5D">
      <w:pPr>
        <w:pStyle w:val="FootnoteText"/>
      </w:pPr>
      <w:r>
        <w:rPr>
          <w:rStyle w:val="FootnoteReference"/>
        </w:rPr>
        <w:footnoteRef/>
      </w:r>
      <w:r>
        <w:t xml:space="preserve"> </w:t>
      </w:r>
      <w:r w:rsidRPr="00500D2F">
        <w:t>Campbell 8-Sep-16 pg. 102</w:t>
      </w:r>
    </w:p>
  </w:footnote>
  <w:footnote w:id="152">
    <w:p w:rsidR="00EF5B5D" w:rsidRPr="006755AF" w:rsidRDefault="00EF5B5D" w:rsidP="00E4116A">
      <w:pPr>
        <w:pStyle w:val="FootnoteText"/>
      </w:pPr>
      <w:r w:rsidRPr="006755AF">
        <w:rPr>
          <w:rStyle w:val="FootnoteReference"/>
        </w:rPr>
        <w:footnoteRef/>
      </w:r>
      <w:r w:rsidRPr="006755AF">
        <w:t xml:space="preserve"> </w:t>
      </w:r>
      <w:r>
        <w:t>Exhibit 228</w:t>
      </w:r>
    </w:p>
  </w:footnote>
  <w:footnote w:id="153">
    <w:p w:rsidR="00EF5B5D" w:rsidRDefault="00EF5B5D" w:rsidP="00D246E4">
      <w:pPr>
        <w:pStyle w:val="FootnoteText"/>
      </w:pPr>
      <w:r w:rsidRPr="006755AF">
        <w:rPr>
          <w:rStyle w:val="FootnoteReference"/>
        </w:rPr>
        <w:footnoteRef/>
      </w:r>
      <w:r>
        <w:t xml:space="preserve"> </w:t>
      </w:r>
      <w:proofErr w:type="gramStart"/>
      <w:r>
        <w:t>Johnston 9-Feb-</w:t>
      </w:r>
      <w:r w:rsidRPr="006755AF">
        <w:t>16 p</w:t>
      </w:r>
      <w:r>
        <w:t>gs</w:t>
      </w:r>
      <w:r w:rsidRPr="006755AF">
        <w:t>.</w:t>
      </w:r>
      <w:proofErr w:type="gramEnd"/>
      <w:r w:rsidRPr="006755AF">
        <w:t xml:space="preserve"> 6</w:t>
      </w:r>
      <w:r>
        <w:t>1-63</w:t>
      </w:r>
    </w:p>
  </w:footnote>
  <w:footnote w:id="154">
    <w:p w:rsidR="00EF5B5D" w:rsidRPr="006755AF" w:rsidRDefault="00EF5B5D" w:rsidP="006437F4">
      <w:pPr>
        <w:pStyle w:val="FootnoteText"/>
      </w:pPr>
      <w:r w:rsidRPr="006755AF">
        <w:rPr>
          <w:rStyle w:val="FootnoteReference"/>
        </w:rPr>
        <w:footnoteRef/>
      </w:r>
      <w:r w:rsidRPr="006755AF">
        <w:t xml:space="preserve"> </w:t>
      </w:r>
      <w:proofErr w:type="gramStart"/>
      <w:r>
        <w:t>Johnston 9-Feb-</w:t>
      </w:r>
      <w:r w:rsidRPr="006437F4">
        <w:t xml:space="preserve">16 </w:t>
      </w:r>
      <w:r>
        <w:t>pgs.</w:t>
      </w:r>
      <w:proofErr w:type="gramEnd"/>
      <w:r>
        <w:t xml:space="preserve"> 54-55, Exhibit 102</w:t>
      </w:r>
    </w:p>
  </w:footnote>
  <w:footnote w:id="155">
    <w:p w:rsidR="00EF5B5D" w:rsidRPr="006755AF" w:rsidRDefault="00EF5B5D" w:rsidP="006437F4">
      <w:pPr>
        <w:pStyle w:val="FootnoteText"/>
      </w:pPr>
      <w:r w:rsidRPr="006755AF">
        <w:rPr>
          <w:rStyle w:val="FootnoteReference"/>
        </w:rPr>
        <w:footnoteRef/>
      </w:r>
      <w:r w:rsidRPr="006755AF">
        <w:t xml:space="preserve"> </w:t>
      </w:r>
      <w:r>
        <w:t>Nie 15-Sep-16 pg. 90</w:t>
      </w:r>
    </w:p>
  </w:footnote>
  <w:footnote w:id="156">
    <w:p w:rsidR="00EF5B5D" w:rsidRPr="00793D46" w:rsidRDefault="00EF5B5D">
      <w:pPr>
        <w:pStyle w:val="FootnoteText"/>
      </w:pPr>
      <w:r>
        <w:rPr>
          <w:rStyle w:val="FootnoteReference"/>
        </w:rPr>
        <w:footnoteRef/>
      </w:r>
      <w:r>
        <w:t xml:space="preserve"> </w:t>
      </w:r>
      <w:proofErr w:type="spellStart"/>
      <w:proofErr w:type="gramStart"/>
      <w:r w:rsidRPr="00793D46">
        <w:rPr>
          <w:i/>
        </w:rPr>
        <w:t>Beldjehem</w:t>
      </w:r>
      <w:proofErr w:type="spellEnd"/>
      <w:r w:rsidRPr="00793D46">
        <w:rPr>
          <w:i/>
        </w:rPr>
        <w:t xml:space="preserve"> v. University of Ottawa (</w:t>
      </w:r>
      <w:proofErr w:type="spellStart"/>
      <w:r w:rsidRPr="00793D46">
        <w:rPr>
          <w:i/>
        </w:rPr>
        <w:t>Tefler</w:t>
      </w:r>
      <w:proofErr w:type="spellEnd"/>
      <w:r w:rsidRPr="00793D46">
        <w:rPr>
          <w:i/>
        </w:rPr>
        <w:t xml:space="preserve"> School of Management)</w:t>
      </w:r>
      <w:r>
        <w:rPr>
          <w:i/>
        </w:rPr>
        <w:t xml:space="preserve"> </w:t>
      </w:r>
      <w:r w:rsidRPr="00793D46">
        <w:t>at para.</w:t>
      </w:r>
      <w:proofErr w:type="gramEnd"/>
      <w:r w:rsidRPr="00793D46">
        <w:t xml:space="preserve"> 37</w:t>
      </w:r>
      <w:r>
        <w:t>, Applicant’s replying Book of Authorities</w:t>
      </w:r>
    </w:p>
  </w:footnote>
  <w:footnote w:id="157">
    <w:p w:rsidR="00EF5B5D" w:rsidRDefault="00EF5B5D">
      <w:pPr>
        <w:pStyle w:val="FootnoteText"/>
      </w:pPr>
      <w:r w:rsidRPr="006755AF">
        <w:rPr>
          <w:rStyle w:val="FootnoteReference"/>
        </w:rPr>
        <w:footnoteRef/>
      </w:r>
      <w:r w:rsidRPr="006755AF">
        <w:t xml:space="preserve"> [10] - </w:t>
      </w:r>
      <w:r w:rsidRPr="006755AF">
        <w:rPr>
          <w:i/>
        </w:rPr>
        <w:t>R. v. Romeo</w:t>
      </w:r>
      <w:r w:rsidRPr="006755AF">
        <w:t>, [1991] 1 SCR 86, 1991 (SCC)</w:t>
      </w:r>
      <w:r>
        <w:t>, p. 8,  Applicant’s replying Book of Authorities</w:t>
      </w:r>
    </w:p>
  </w:footnote>
  <w:footnote w:id="158">
    <w:p w:rsidR="00EF5B5D" w:rsidRPr="006755AF" w:rsidRDefault="00EF5B5D">
      <w:pPr>
        <w:pStyle w:val="FootnoteText"/>
      </w:pPr>
      <w:r w:rsidRPr="006755AF">
        <w:rPr>
          <w:rStyle w:val="FootnoteReference"/>
        </w:rPr>
        <w:footnoteRef/>
      </w:r>
      <w:r w:rsidRPr="006755AF">
        <w:t xml:space="preserve"> </w:t>
      </w:r>
      <w:r>
        <w:t xml:space="preserve">Filman 9-Sep-16 p. 95, </w:t>
      </w:r>
      <w:r w:rsidRPr="00B800DE">
        <w:t>98, 112, 113, 119, 197</w:t>
      </w:r>
    </w:p>
  </w:footnote>
  <w:footnote w:id="159">
    <w:p w:rsidR="00EF5B5D" w:rsidRPr="002877EA" w:rsidRDefault="00EF5B5D">
      <w:pPr>
        <w:pStyle w:val="FootnoteText"/>
      </w:pPr>
      <w:r>
        <w:rPr>
          <w:rStyle w:val="FootnoteReference"/>
        </w:rPr>
        <w:footnoteRef/>
      </w:r>
      <w:r>
        <w:t xml:space="preserve"> Exhibit 140</w:t>
      </w:r>
    </w:p>
  </w:footnote>
  <w:footnote w:id="160">
    <w:p w:rsidR="00EF5B5D" w:rsidRDefault="00EF5B5D">
      <w:pPr>
        <w:pStyle w:val="FootnoteText"/>
      </w:pPr>
      <w:r>
        <w:rPr>
          <w:rStyle w:val="FootnoteReference"/>
        </w:rPr>
        <w:footnoteRef/>
      </w:r>
      <w:r>
        <w:t xml:space="preserve"> </w:t>
      </w:r>
      <w:proofErr w:type="gramStart"/>
      <w:r>
        <w:t>Exhibit 29, ‘Proceedings at Trial Continuation’ (last transcript in exhibit 29) pgs.</w:t>
      </w:r>
      <w:proofErr w:type="gramEnd"/>
      <w:r>
        <w:t xml:space="preserve"> 2 to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B5D" w:rsidRDefault="00EF5B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415347"/>
      <w:docPartObj>
        <w:docPartGallery w:val="Page Numbers (Top of Page)"/>
        <w:docPartUnique/>
      </w:docPartObj>
    </w:sdtPr>
    <w:sdtEndPr>
      <w:rPr>
        <w:noProof/>
      </w:rPr>
    </w:sdtEndPr>
    <w:sdtContent>
      <w:p w:rsidR="00EF5B5D" w:rsidRDefault="00EF5B5D">
        <w:pPr>
          <w:pStyle w:val="Header"/>
          <w:jc w:val="right"/>
        </w:pPr>
        <w:r>
          <w:fldChar w:fldCharType="begin"/>
        </w:r>
        <w:r>
          <w:instrText xml:space="preserve"> PAGE   \* MERGEFORMAT </w:instrText>
        </w:r>
        <w:r>
          <w:fldChar w:fldCharType="separate"/>
        </w:r>
        <w:r w:rsidR="00334627">
          <w:rPr>
            <w:noProof/>
          </w:rPr>
          <w:t>20</w:t>
        </w:r>
        <w:r>
          <w:rPr>
            <w:noProof/>
          </w:rPr>
          <w:fldChar w:fldCharType="end"/>
        </w:r>
      </w:p>
    </w:sdtContent>
  </w:sdt>
  <w:p w:rsidR="00EF5B5D" w:rsidRDefault="00EF5B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B5D" w:rsidRDefault="00EF5B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23BB3"/>
    <w:multiLevelType w:val="hybridMultilevel"/>
    <w:tmpl w:val="E25EE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B427A"/>
    <w:multiLevelType w:val="hybridMultilevel"/>
    <w:tmpl w:val="F3D6D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7B35DC"/>
    <w:multiLevelType w:val="hybridMultilevel"/>
    <w:tmpl w:val="E99ED846"/>
    <w:lvl w:ilvl="0" w:tplc="8A7650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B6BF3"/>
    <w:multiLevelType w:val="hybridMultilevel"/>
    <w:tmpl w:val="3AB6D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5A3689"/>
    <w:multiLevelType w:val="hybridMultilevel"/>
    <w:tmpl w:val="DDF6A79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78EF315D"/>
    <w:multiLevelType w:val="hybridMultilevel"/>
    <w:tmpl w:val="D73C9672"/>
    <w:lvl w:ilvl="0" w:tplc="4162BA74">
      <w:start w:val="1"/>
      <w:numFmt w:val="decimal"/>
      <w:lvlText w:val="%1."/>
      <w:lvlJc w:val="left"/>
      <w:pPr>
        <w:ind w:left="720" w:hanging="360"/>
      </w:pPr>
      <w:rPr>
        <w:rFonts w:hint="default"/>
        <w:b w:val="0"/>
        <w:i w:val="0"/>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5D76EA"/>
    <w:multiLevelType w:val="hybridMultilevel"/>
    <w:tmpl w:val="7D60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363"/>
    <w:rsid w:val="00001586"/>
    <w:rsid w:val="00006234"/>
    <w:rsid w:val="000071E8"/>
    <w:rsid w:val="000131C2"/>
    <w:rsid w:val="000132B5"/>
    <w:rsid w:val="0001380A"/>
    <w:rsid w:val="00013D9F"/>
    <w:rsid w:val="00015897"/>
    <w:rsid w:val="0002123E"/>
    <w:rsid w:val="0002277B"/>
    <w:rsid w:val="00026CAE"/>
    <w:rsid w:val="00027677"/>
    <w:rsid w:val="00035879"/>
    <w:rsid w:val="000441F0"/>
    <w:rsid w:val="000508A7"/>
    <w:rsid w:val="00051126"/>
    <w:rsid w:val="000547FB"/>
    <w:rsid w:val="00060DE8"/>
    <w:rsid w:val="00061E56"/>
    <w:rsid w:val="00065162"/>
    <w:rsid w:val="00065724"/>
    <w:rsid w:val="00067BDF"/>
    <w:rsid w:val="000719BC"/>
    <w:rsid w:val="00072A3F"/>
    <w:rsid w:val="00073A68"/>
    <w:rsid w:val="00076817"/>
    <w:rsid w:val="00076943"/>
    <w:rsid w:val="00086930"/>
    <w:rsid w:val="000870DE"/>
    <w:rsid w:val="000872C0"/>
    <w:rsid w:val="00090551"/>
    <w:rsid w:val="000A1807"/>
    <w:rsid w:val="000A6321"/>
    <w:rsid w:val="000A6C68"/>
    <w:rsid w:val="000C5B17"/>
    <w:rsid w:val="000C7A1E"/>
    <w:rsid w:val="000D12B0"/>
    <w:rsid w:val="000D15A5"/>
    <w:rsid w:val="000D29D5"/>
    <w:rsid w:val="000D3FCB"/>
    <w:rsid w:val="000D6198"/>
    <w:rsid w:val="000E0AD1"/>
    <w:rsid w:val="000E0E0C"/>
    <w:rsid w:val="000E7EAB"/>
    <w:rsid w:val="000F0DFA"/>
    <w:rsid w:val="000F4A0E"/>
    <w:rsid w:val="000F5047"/>
    <w:rsid w:val="000F7992"/>
    <w:rsid w:val="001007A2"/>
    <w:rsid w:val="00100A1C"/>
    <w:rsid w:val="0010160D"/>
    <w:rsid w:val="0010267F"/>
    <w:rsid w:val="0010321D"/>
    <w:rsid w:val="0010407E"/>
    <w:rsid w:val="00104CB9"/>
    <w:rsid w:val="00105E5D"/>
    <w:rsid w:val="00107B93"/>
    <w:rsid w:val="0011085B"/>
    <w:rsid w:val="00110C43"/>
    <w:rsid w:val="00115CD7"/>
    <w:rsid w:val="00120D1F"/>
    <w:rsid w:val="001226DC"/>
    <w:rsid w:val="00122A05"/>
    <w:rsid w:val="001242F5"/>
    <w:rsid w:val="001268A0"/>
    <w:rsid w:val="00136EE4"/>
    <w:rsid w:val="00137123"/>
    <w:rsid w:val="001429F2"/>
    <w:rsid w:val="001467F3"/>
    <w:rsid w:val="00150870"/>
    <w:rsid w:val="00151CB1"/>
    <w:rsid w:val="0015363C"/>
    <w:rsid w:val="00166D8E"/>
    <w:rsid w:val="00167D3D"/>
    <w:rsid w:val="0017122C"/>
    <w:rsid w:val="001731D4"/>
    <w:rsid w:val="00175F0F"/>
    <w:rsid w:val="00176D7B"/>
    <w:rsid w:val="00177A56"/>
    <w:rsid w:val="001802E8"/>
    <w:rsid w:val="001805D1"/>
    <w:rsid w:val="0018199A"/>
    <w:rsid w:val="00185416"/>
    <w:rsid w:val="001866F7"/>
    <w:rsid w:val="00187BB1"/>
    <w:rsid w:val="00191D81"/>
    <w:rsid w:val="00192B7A"/>
    <w:rsid w:val="00193545"/>
    <w:rsid w:val="001B3A5B"/>
    <w:rsid w:val="001B7C09"/>
    <w:rsid w:val="001C0D57"/>
    <w:rsid w:val="001C214B"/>
    <w:rsid w:val="001D3F5E"/>
    <w:rsid w:val="001D44E4"/>
    <w:rsid w:val="001F32CC"/>
    <w:rsid w:val="001F37B3"/>
    <w:rsid w:val="001F48FF"/>
    <w:rsid w:val="001F5BDF"/>
    <w:rsid w:val="00200271"/>
    <w:rsid w:val="00201C7F"/>
    <w:rsid w:val="00211072"/>
    <w:rsid w:val="00211600"/>
    <w:rsid w:val="00230E60"/>
    <w:rsid w:val="00234B8E"/>
    <w:rsid w:val="0023626C"/>
    <w:rsid w:val="00244363"/>
    <w:rsid w:val="002454C9"/>
    <w:rsid w:val="002476BE"/>
    <w:rsid w:val="00251713"/>
    <w:rsid w:val="00253BA8"/>
    <w:rsid w:val="00266981"/>
    <w:rsid w:val="002728EB"/>
    <w:rsid w:val="002738BD"/>
    <w:rsid w:val="002877EA"/>
    <w:rsid w:val="00292F98"/>
    <w:rsid w:val="00295BF0"/>
    <w:rsid w:val="00296BCE"/>
    <w:rsid w:val="0029782E"/>
    <w:rsid w:val="002A2143"/>
    <w:rsid w:val="002A35AE"/>
    <w:rsid w:val="002B1E80"/>
    <w:rsid w:val="002B2540"/>
    <w:rsid w:val="002C2DD9"/>
    <w:rsid w:val="002C37E0"/>
    <w:rsid w:val="002C5AF1"/>
    <w:rsid w:val="002D1B82"/>
    <w:rsid w:val="002D35CA"/>
    <w:rsid w:val="002D3A95"/>
    <w:rsid w:val="002E13BF"/>
    <w:rsid w:val="002E1A92"/>
    <w:rsid w:val="002E4B2E"/>
    <w:rsid w:val="002F0E75"/>
    <w:rsid w:val="002F4137"/>
    <w:rsid w:val="002F636F"/>
    <w:rsid w:val="002F73D3"/>
    <w:rsid w:val="003024FB"/>
    <w:rsid w:val="003065AE"/>
    <w:rsid w:val="00316BAD"/>
    <w:rsid w:val="00321F63"/>
    <w:rsid w:val="003264A6"/>
    <w:rsid w:val="0033373F"/>
    <w:rsid w:val="00334627"/>
    <w:rsid w:val="003351DB"/>
    <w:rsid w:val="003363B9"/>
    <w:rsid w:val="00340D68"/>
    <w:rsid w:val="003442EB"/>
    <w:rsid w:val="003517C3"/>
    <w:rsid w:val="00351BF4"/>
    <w:rsid w:val="00361C92"/>
    <w:rsid w:val="003634C8"/>
    <w:rsid w:val="0036452A"/>
    <w:rsid w:val="00364F0A"/>
    <w:rsid w:val="00372F27"/>
    <w:rsid w:val="00381A86"/>
    <w:rsid w:val="0038477C"/>
    <w:rsid w:val="00385355"/>
    <w:rsid w:val="00387ACF"/>
    <w:rsid w:val="00391068"/>
    <w:rsid w:val="003953EB"/>
    <w:rsid w:val="00395A48"/>
    <w:rsid w:val="00396D66"/>
    <w:rsid w:val="003A0823"/>
    <w:rsid w:val="003A1398"/>
    <w:rsid w:val="003A2509"/>
    <w:rsid w:val="003A5124"/>
    <w:rsid w:val="003A5AAD"/>
    <w:rsid w:val="003A6FAF"/>
    <w:rsid w:val="003B06EA"/>
    <w:rsid w:val="003B1467"/>
    <w:rsid w:val="003B2DFC"/>
    <w:rsid w:val="003B6CD0"/>
    <w:rsid w:val="003C1677"/>
    <w:rsid w:val="003C4B94"/>
    <w:rsid w:val="003C57BD"/>
    <w:rsid w:val="003C6845"/>
    <w:rsid w:val="003D1514"/>
    <w:rsid w:val="003D3FF2"/>
    <w:rsid w:val="003D6B23"/>
    <w:rsid w:val="003D7D55"/>
    <w:rsid w:val="003E0775"/>
    <w:rsid w:val="003E1909"/>
    <w:rsid w:val="003E1BB2"/>
    <w:rsid w:val="003E3AEF"/>
    <w:rsid w:val="003F3079"/>
    <w:rsid w:val="003F64E9"/>
    <w:rsid w:val="0040420D"/>
    <w:rsid w:val="00404F61"/>
    <w:rsid w:val="00410049"/>
    <w:rsid w:val="0041161D"/>
    <w:rsid w:val="004116A8"/>
    <w:rsid w:val="00415BC3"/>
    <w:rsid w:val="00422616"/>
    <w:rsid w:val="004239D0"/>
    <w:rsid w:val="00435ABA"/>
    <w:rsid w:val="004439C9"/>
    <w:rsid w:val="00453ECD"/>
    <w:rsid w:val="00454C26"/>
    <w:rsid w:val="00457A3D"/>
    <w:rsid w:val="00474A89"/>
    <w:rsid w:val="00476C59"/>
    <w:rsid w:val="00480C99"/>
    <w:rsid w:val="00481116"/>
    <w:rsid w:val="00485E68"/>
    <w:rsid w:val="00486AEF"/>
    <w:rsid w:val="00490395"/>
    <w:rsid w:val="00495F61"/>
    <w:rsid w:val="00497DCC"/>
    <w:rsid w:val="004A235F"/>
    <w:rsid w:val="004A54A4"/>
    <w:rsid w:val="004B468D"/>
    <w:rsid w:val="004B5E69"/>
    <w:rsid w:val="004C1141"/>
    <w:rsid w:val="004D136E"/>
    <w:rsid w:val="004D1EA3"/>
    <w:rsid w:val="004E4360"/>
    <w:rsid w:val="004E5D90"/>
    <w:rsid w:val="004E678E"/>
    <w:rsid w:val="004F4628"/>
    <w:rsid w:val="00500D2F"/>
    <w:rsid w:val="00502949"/>
    <w:rsid w:val="00502CEF"/>
    <w:rsid w:val="0051313E"/>
    <w:rsid w:val="00515013"/>
    <w:rsid w:val="00515A7C"/>
    <w:rsid w:val="0052617E"/>
    <w:rsid w:val="00530DBF"/>
    <w:rsid w:val="00532055"/>
    <w:rsid w:val="00535771"/>
    <w:rsid w:val="005363F9"/>
    <w:rsid w:val="00536A79"/>
    <w:rsid w:val="005374B6"/>
    <w:rsid w:val="0054391B"/>
    <w:rsid w:val="00545BD7"/>
    <w:rsid w:val="00547DE7"/>
    <w:rsid w:val="00551918"/>
    <w:rsid w:val="00556B6E"/>
    <w:rsid w:val="005621B3"/>
    <w:rsid w:val="0057406C"/>
    <w:rsid w:val="0057413D"/>
    <w:rsid w:val="0057603B"/>
    <w:rsid w:val="00584F40"/>
    <w:rsid w:val="00587470"/>
    <w:rsid w:val="00587C90"/>
    <w:rsid w:val="0059230E"/>
    <w:rsid w:val="005958FF"/>
    <w:rsid w:val="00596C6E"/>
    <w:rsid w:val="005A01C0"/>
    <w:rsid w:val="005A09F2"/>
    <w:rsid w:val="005A2247"/>
    <w:rsid w:val="005A421A"/>
    <w:rsid w:val="005A5C50"/>
    <w:rsid w:val="005B1BF7"/>
    <w:rsid w:val="005B3EC5"/>
    <w:rsid w:val="005B59C3"/>
    <w:rsid w:val="005C0C4F"/>
    <w:rsid w:val="005C24E9"/>
    <w:rsid w:val="005C265C"/>
    <w:rsid w:val="005C4832"/>
    <w:rsid w:val="005D0A7F"/>
    <w:rsid w:val="005D0C30"/>
    <w:rsid w:val="005D2778"/>
    <w:rsid w:val="005D3286"/>
    <w:rsid w:val="005D35CD"/>
    <w:rsid w:val="005D6572"/>
    <w:rsid w:val="005E0644"/>
    <w:rsid w:val="005E1ACF"/>
    <w:rsid w:val="005E5311"/>
    <w:rsid w:val="005E579B"/>
    <w:rsid w:val="005F06D3"/>
    <w:rsid w:val="005F2228"/>
    <w:rsid w:val="005F6EBE"/>
    <w:rsid w:val="005F713C"/>
    <w:rsid w:val="005F72F9"/>
    <w:rsid w:val="005F7F47"/>
    <w:rsid w:val="0060728B"/>
    <w:rsid w:val="00607B07"/>
    <w:rsid w:val="00615406"/>
    <w:rsid w:val="0063367A"/>
    <w:rsid w:val="006410A3"/>
    <w:rsid w:val="00641D6F"/>
    <w:rsid w:val="0064343E"/>
    <w:rsid w:val="006436EB"/>
    <w:rsid w:val="006437F4"/>
    <w:rsid w:val="00643C19"/>
    <w:rsid w:val="00646EDE"/>
    <w:rsid w:val="0065472B"/>
    <w:rsid w:val="00656C25"/>
    <w:rsid w:val="0066144A"/>
    <w:rsid w:val="00661DE9"/>
    <w:rsid w:val="00663DB3"/>
    <w:rsid w:val="00667C2D"/>
    <w:rsid w:val="00670AD2"/>
    <w:rsid w:val="0067370B"/>
    <w:rsid w:val="0067390E"/>
    <w:rsid w:val="006755AF"/>
    <w:rsid w:val="00676B43"/>
    <w:rsid w:val="00684230"/>
    <w:rsid w:val="006860F1"/>
    <w:rsid w:val="00687630"/>
    <w:rsid w:val="00687A21"/>
    <w:rsid w:val="00693853"/>
    <w:rsid w:val="00694AAE"/>
    <w:rsid w:val="006A00EA"/>
    <w:rsid w:val="006A18F7"/>
    <w:rsid w:val="006A1C8F"/>
    <w:rsid w:val="006B2525"/>
    <w:rsid w:val="006B2BBF"/>
    <w:rsid w:val="006B3699"/>
    <w:rsid w:val="006B42C3"/>
    <w:rsid w:val="006B46FF"/>
    <w:rsid w:val="006B4AA3"/>
    <w:rsid w:val="006B7CCE"/>
    <w:rsid w:val="006C3DB3"/>
    <w:rsid w:val="006D35F1"/>
    <w:rsid w:val="006D3D3F"/>
    <w:rsid w:val="006D50EA"/>
    <w:rsid w:val="006D5981"/>
    <w:rsid w:val="006E022C"/>
    <w:rsid w:val="006E0CA3"/>
    <w:rsid w:val="006E1A0E"/>
    <w:rsid w:val="006E23C5"/>
    <w:rsid w:val="006E37C0"/>
    <w:rsid w:val="006E5876"/>
    <w:rsid w:val="006E67F1"/>
    <w:rsid w:val="006F513B"/>
    <w:rsid w:val="006F7670"/>
    <w:rsid w:val="007021F6"/>
    <w:rsid w:val="00703CA5"/>
    <w:rsid w:val="00705095"/>
    <w:rsid w:val="0070796C"/>
    <w:rsid w:val="00713E94"/>
    <w:rsid w:val="007154D2"/>
    <w:rsid w:val="00715506"/>
    <w:rsid w:val="00720201"/>
    <w:rsid w:val="007209F8"/>
    <w:rsid w:val="00726898"/>
    <w:rsid w:val="00730983"/>
    <w:rsid w:val="007316B4"/>
    <w:rsid w:val="00735AEF"/>
    <w:rsid w:val="00740EC2"/>
    <w:rsid w:val="00741C6C"/>
    <w:rsid w:val="00742769"/>
    <w:rsid w:val="007501F7"/>
    <w:rsid w:val="007526AC"/>
    <w:rsid w:val="0075272F"/>
    <w:rsid w:val="00754BC0"/>
    <w:rsid w:val="0076155B"/>
    <w:rsid w:val="00766D4B"/>
    <w:rsid w:val="00766D63"/>
    <w:rsid w:val="0076796E"/>
    <w:rsid w:val="00770DAA"/>
    <w:rsid w:val="007714D5"/>
    <w:rsid w:val="007739E0"/>
    <w:rsid w:val="00775C7C"/>
    <w:rsid w:val="007769AB"/>
    <w:rsid w:val="00783C97"/>
    <w:rsid w:val="007850C5"/>
    <w:rsid w:val="00785203"/>
    <w:rsid w:val="00791ABC"/>
    <w:rsid w:val="00793D46"/>
    <w:rsid w:val="007A1D5B"/>
    <w:rsid w:val="007A462E"/>
    <w:rsid w:val="007A5854"/>
    <w:rsid w:val="007A7298"/>
    <w:rsid w:val="007A72FC"/>
    <w:rsid w:val="007B5218"/>
    <w:rsid w:val="007C01B7"/>
    <w:rsid w:val="007C2A19"/>
    <w:rsid w:val="007C3939"/>
    <w:rsid w:val="007C4CFE"/>
    <w:rsid w:val="007D6374"/>
    <w:rsid w:val="007E6133"/>
    <w:rsid w:val="007E78D6"/>
    <w:rsid w:val="007F0916"/>
    <w:rsid w:val="007F09D3"/>
    <w:rsid w:val="007F79A4"/>
    <w:rsid w:val="00802CCF"/>
    <w:rsid w:val="00815112"/>
    <w:rsid w:val="008162B3"/>
    <w:rsid w:val="00817D38"/>
    <w:rsid w:val="00817F20"/>
    <w:rsid w:val="00822885"/>
    <w:rsid w:val="00830642"/>
    <w:rsid w:val="00830C64"/>
    <w:rsid w:val="008349BF"/>
    <w:rsid w:val="00835BF1"/>
    <w:rsid w:val="00835FB2"/>
    <w:rsid w:val="00840521"/>
    <w:rsid w:val="008409B0"/>
    <w:rsid w:val="00841F7F"/>
    <w:rsid w:val="008510A8"/>
    <w:rsid w:val="00853E7E"/>
    <w:rsid w:val="00854A55"/>
    <w:rsid w:val="00860760"/>
    <w:rsid w:val="00860B69"/>
    <w:rsid w:val="0086296B"/>
    <w:rsid w:val="00873882"/>
    <w:rsid w:val="00874520"/>
    <w:rsid w:val="008801D6"/>
    <w:rsid w:val="0088026B"/>
    <w:rsid w:val="00883BF1"/>
    <w:rsid w:val="008930B9"/>
    <w:rsid w:val="00896475"/>
    <w:rsid w:val="0089764C"/>
    <w:rsid w:val="008A3C3E"/>
    <w:rsid w:val="008A741B"/>
    <w:rsid w:val="008A760B"/>
    <w:rsid w:val="008B30F2"/>
    <w:rsid w:val="008B6AEE"/>
    <w:rsid w:val="008B789A"/>
    <w:rsid w:val="008C5723"/>
    <w:rsid w:val="008C64AE"/>
    <w:rsid w:val="008C7089"/>
    <w:rsid w:val="008D7409"/>
    <w:rsid w:val="008D7983"/>
    <w:rsid w:val="008E3093"/>
    <w:rsid w:val="008E40F6"/>
    <w:rsid w:val="008E549E"/>
    <w:rsid w:val="008F272C"/>
    <w:rsid w:val="00900838"/>
    <w:rsid w:val="00902709"/>
    <w:rsid w:val="00902801"/>
    <w:rsid w:val="00912B84"/>
    <w:rsid w:val="0091326B"/>
    <w:rsid w:val="00914FEA"/>
    <w:rsid w:val="00916874"/>
    <w:rsid w:val="0093022F"/>
    <w:rsid w:val="009559CC"/>
    <w:rsid w:val="00955E74"/>
    <w:rsid w:val="009569F0"/>
    <w:rsid w:val="00956B52"/>
    <w:rsid w:val="00957292"/>
    <w:rsid w:val="009602CC"/>
    <w:rsid w:val="00962CAA"/>
    <w:rsid w:val="00984D02"/>
    <w:rsid w:val="00985BDA"/>
    <w:rsid w:val="00991C84"/>
    <w:rsid w:val="00995D7A"/>
    <w:rsid w:val="009967A7"/>
    <w:rsid w:val="0099745A"/>
    <w:rsid w:val="009A504B"/>
    <w:rsid w:val="009B0597"/>
    <w:rsid w:val="009B4AFD"/>
    <w:rsid w:val="009C315F"/>
    <w:rsid w:val="009C4383"/>
    <w:rsid w:val="009C74F1"/>
    <w:rsid w:val="009D639F"/>
    <w:rsid w:val="009D6D17"/>
    <w:rsid w:val="009E0C5C"/>
    <w:rsid w:val="009E38DD"/>
    <w:rsid w:val="009F3CB4"/>
    <w:rsid w:val="009F435D"/>
    <w:rsid w:val="009F538D"/>
    <w:rsid w:val="009F7991"/>
    <w:rsid w:val="00A01D76"/>
    <w:rsid w:val="00A021A5"/>
    <w:rsid w:val="00A06AB3"/>
    <w:rsid w:val="00A06C77"/>
    <w:rsid w:val="00A07EA8"/>
    <w:rsid w:val="00A10C83"/>
    <w:rsid w:val="00A15D0F"/>
    <w:rsid w:val="00A26852"/>
    <w:rsid w:val="00A323F2"/>
    <w:rsid w:val="00A33473"/>
    <w:rsid w:val="00A34373"/>
    <w:rsid w:val="00A34AD8"/>
    <w:rsid w:val="00A40F7A"/>
    <w:rsid w:val="00A44C60"/>
    <w:rsid w:val="00A476F9"/>
    <w:rsid w:val="00A5034C"/>
    <w:rsid w:val="00A56497"/>
    <w:rsid w:val="00A56F68"/>
    <w:rsid w:val="00A71A60"/>
    <w:rsid w:val="00A73A0B"/>
    <w:rsid w:val="00A7513D"/>
    <w:rsid w:val="00A81F10"/>
    <w:rsid w:val="00A81FA5"/>
    <w:rsid w:val="00A84285"/>
    <w:rsid w:val="00A8564D"/>
    <w:rsid w:val="00A87DB1"/>
    <w:rsid w:val="00A9115A"/>
    <w:rsid w:val="00A9227B"/>
    <w:rsid w:val="00A93060"/>
    <w:rsid w:val="00A95750"/>
    <w:rsid w:val="00A969BC"/>
    <w:rsid w:val="00AA018E"/>
    <w:rsid w:val="00AA33B9"/>
    <w:rsid w:val="00AA75C6"/>
    <w:rsid w:val="00AB1D61"/>
    <w:rsid w:val="00AB7607"/>
    <w:rsid w:val="00AB7AE2"/>
    <w:rsid w:val="00AC011A"/>
    <w:rsid w:val="00AC5690"/>
    <w:rsid w:val="00AC56C7"/>
    <w:rsid w:val="00AC5CA1"/>
    <w:rsid w:val="00AC69C6"/>
    <w:rsid w:val="00AE6916"/>
    <w:rsid w:val="00AF0628"/>
    <w:rsid w:val="00AF1BBF"/>
    <w:rsid w:val="00AF6F9B"/>
    <w:rsid w:val="00B12722"/>
    <w:rsid w:val="00B140B0"/>
    <w:rsid w:val="00B1437C"/>
    <w:rsid w:val="00B17DB8"/>
    <w:rsid w:val="00B308FA"/>
    <w:rsid w:val="00B30CA9"/>
    <w:rsid w:val="00B32313"/>
    <w:rsid w:val="00B33AF0"/>
    <w:rsid w:val="00B353E2"/>
    <w:rsid w:val="00B45BFB"/>
    <w:rsid w:val="00B5123C"/>
    <w:rsid w:val="00B522E8"/>
    <w:rsid w:val="00B527B9"/>
    <w:rsid w:val="00B6275A"/>
    <w:rsid w:val="00B65844"/>
    <w:rsid w:val="00B70ECD"/>
    <w:rsid w:val="00B716D6"/>
    <w:rsid w:val="00B745DF"/>
    <w:rsid w:val="00B747DA"/>
    <w:rsid w:val="00B77F04"/>
    <w:rsid w:val="00B800DE"/>
    <w:rsid w:val="00B80C3B"/>
    <w:rsid w:val="00B824E7"/>
    <w:rsid w:val="00B82CBE"/>
    <w:rsid w:val="00B85280"/>
    <w:rsid w:val="00B94FF0"/>
    <w:rsid w:val="00BA1EC0"/>
    <w:rsid w:val="00BA2369"/>
    <w:rsid w:val="00BA75F3"/>
    <w:rsid w:val="00BA7657"/>
    <w:rsid w:val="00BA7B52"/>
    <w:rsid w:val="00BC09A4"/>
    <w:rsid w:val="00BC0B6B"/>
    <w:rsid w:val="00BC199C"/>
    <w:rsid w:val="00BC20B6"/>
    <w:rsid w:val="00BC7790"/>
    <w:rsid w:val="00BD3A34"/>
    <w:rsid w:val="00BD46CE"/>
    <w:rsid w:val="00BD5A89"/>
    <w:rsid w:val="00BD6927"/>
    <w:rsid w:val="00BE0F45"/>
    <w:rsid w:val="00BE1061"/>
    <w:rsid w:val="00BE40A8"/>
    <w:rsid w:val="00BE4D53"/>
    <w:rsid w:val="00BE5875"/>
    <w:rsid w:val="00BF13AB"/>
    <w:rsid w:val="00C011DD"/>
    <w:rsid w:val="00C03249"/>
    <w:rsid w:val="00C04434"/>
    <w:rsid w:val="00C16C22"/>
    <w:rsid w:val="00C174AA"/>
    <w:rsid w:val="00C23420"/>
    <w:rsid w:val="00C25C4E"/>
    <w:rsid w:val="00C26D93"/>
    <w:rsid w:val="00C31D1A"/>
    <w:rsid w:val="00C35E69"/>
    <w:rsid w:val="00C37070"/>
    <w:rsid w:val="00C373AC"/>
    <w:rsid w:val="00C40289"/>
    <w:rsid w:val="00C51031"/>
    <w:rsid w:val="00C51299"/>
    <w:rsid w:val="00C51DCF"/>
    <w:rsid w:val="00C53AA1"/>
    <w:rsid w:val="00C540B7"/>
    <w:rsid w:val="00C54F12"/>
    <w:rsid w:val="00C64649"/>
    <w:rsid w:val="00C75C58"/>
    <w:rsid w:val="00C84C6A"/>
    <w:rsid w:val="00C94ECF"/>
    <w:rsid w:val="00C97286"/>
    <w:rsid w:val="00CA23A5"/>
    <w:rsid w:val="00CA3153"/>
    <w:rsid w:val="00CA3AFE"/>
    <w:rsid w:val="00CB0151"/>
    <w:rsid w:val="00CC2983"/>
    <w:rsid w:val="00CD51E3"/>
    <w:rsid w:val="00CD5875"/>
    <w:rsid w:val="00CE398F"/>
    <w:rsid w:val="00CF0EAC"/>
    <w:rsid w:val="00CF3AF7"/>
    <w:rsid w:val="00CF3FC4"/>
    <w:rsid w:val="00D0711D"/>
    <w:rsid w:val="00D10D5E"/>
    <w:rsid w:val="00D11B5D"/>
    <w:rsid w:val="00D136BC"/>
    <w:rsid w:val="00D157DC"/>
    <w:rsid w:val="00D16F07"/>
    <w:rsid w:val="00D21D57"/>
    <w:rsid w:val="00D22508"/>
    <w:rsid w:val="00D246E4"/>
    <w:rsid w:val="00D27C98"/>
    <w:rsid w:val="00D33568"/>
    <w:rsid w:val="00D37A2D"/>
    <w:rsid w:val="00D50A9E"/>
    <w:rsid w:val="00D50B17"/>
    <w:rsid w:val="00D53D84"/>
    <w:rsid w:val="00D64729"/>
    <w:rsid w:val="00D660DF"/>
    <w:rsid w:val="00D74B29"/>
    <w:rsid w:val="00D75718"/>
    <w:rsid w:val="00D80DE4"/>
    <w:rsid w:val="00D845E4"/>
    <w:rsid w:val="00D92A11"/>
    <w:rsid w:val="00D93732"/>
    <w:rsid w:val="00DA0BD0"/>
    <w:rsid w:val="00DA24C2"/>
    <w:rsid w:val="00DA50EF"/>
    <w:rsid w:val="00DA6496"/>
    <w:rsid w:val="00DB087B"/>
    <w:rsid w:val="00DB1DA4"/>
    <w:rsid w:val="00DB3BD5"/>
    <w:rsid w:val="00DC135F"/>
    <w:rsid w:val="00DC316F"/>
    <w:rsid w:val="00DC7708"/>
    <w:rsid w:val="00DD2073"/>
    <w:rsid w:val="00DD33C7"/>
    <w:rsid w:val="00DD7C88"/>
    <w:rsid w:val="00DE0789"/>
    <w:rsid w:val="00DE661F"/>
    <w:rsid w:val="00DF1815"/>
    <w:rsid w:val="00DF226C"/>
    <w:rsid w:val="00DF6893"/>
    <w:rsid w:val="00DF729C"/>
    <w:rsid w:val="00E017EC"/>
    <w:rsid w:val="00E02C35"/>
    <w:rsid w:val="00E11099"/>
    <w:rsid w:val="00E16BED"/>
    <w:rsid w:val="00E16FE1"/>
    <w:rsid w:val="00E21C8B"/>
    <w:rsid w:val="00E22629"/>
    <w:rsid w:val="00E227A9"/>
    <w:rsid w:val="00E261D7"/>
    <w:rsid w:val="00E270F7"/>
    <w:rsid w:val="00E27AE5"/>
    <w:rsid w:val="00E3057E"/>
    <w:rsid w:val="00E3148D"/>
    <w:rsid w:val="00E31AF1"/>
    <w:rsid w:val="00E36D8A"/>
    <w:rsid w:val="00E371A7"/>
    <w:rsid w:val="00E4116A"/>
    <w:rsid w:val="00E417C4"/>
    <w:rsid w:val="00E448CA"/>
    <w:rsid w:val="00E44D07"/>
    <w:rsid w:val="00E50C95"/>
    <w:rsid w:val="00E530F0"/>
    <w:rsid w:val="00E5517B"/>
    <w:rsid w:val="00E609A4"/>
    <w:rsid w:val="00E610C9"/>
    <w:rsid w:val="00E62317"/>
    <w:rsid w:val="00E6442E"/>
    <w:rsid w:val="00E66601"/>
    <w:rsid w:val="00E710DF"/>
    <w:rsid w:val="00E71287"/>
    <w:rsid w:val="00E715B1"/>
    <w:rsid w:val="00E80CEF"/>
    <w:rsid w:val="00E84DD0"/>
    <w:rsid w:val="00E868C2"/>
    <w:rsid w:val="00E906C9"/>
    <w:rsid w:val="00E907E9"/>
    <w:rsid w:val="00E93AC4"/>
    <w:rsid w:val="00EA0510"/>
    <w:rsid w:val="00EA3648"/>
    <w:rsid w:val="00EA560C"/>
    <w:rsid w:val="00EA64D7"/>
    <w:rsid w:val="00EA6EDE"/>
    <w:rsid w:val="00EB3CFC"/>
    <w:rsid w:val="00EB403F"/>
    <w:rsid w:val="00EC1E12"/>
    <w:rsid w:val="00EC4CBD"/>
    <w:rsid w:val="00EC51FB"/>
    <w:rsid w:val="00EC54D7"/>
    <w:rsid w:val="00ED2D91"/>
    <w:rsid w:val="00ED5FC1"/>
    <w:rsid w:val="00ED6350"/>
    <w:rsid w:val="00ED77DD"/>
    <w:rsid w:val="00ED7D8E"/>
    <w:rsid w:val="00EE4D20"/>
    <w:rsid w:val="00EF0CE0"/>
    <w:rsid w:val="00EF5B5D"/>
    <w:rsid w:val="00F01E14"/>
    <w:rsid w:val="00F04694"/>
    <w:rsid w:val="00F1010F"/>
    <w:rsid w:val="00F1139F"/>
    <w:rsid w:val="00F11872"/>
    <w:rsid w:val="00F16F77"/>
    <w:rsid w:val="00F20D70"/>
    <w:rsid w:val="00F21A9A"/>
    <w:rsid w:val="00F22EDC"/>
    <w:rsid w:val="00F30A18"/>
    <w:rsid w:val="00F32551"/>
    <w:rsid w:val="00F34633"/>
    <w:rsid w:val="00F42F05"/>
    <w:rsid w:val="00F430CE"/>
    <w:rsid w:val="00F50B7A"/>
    <w:rsid w:val="00F527A3"/>
    <w:rsid w:val="00F57290"/>
    <w:rsid w:val="00F5767D"/>
    <w:rsid w:val="00F65978"/>
    <w:rsid w:val="00F7156D"/>
    <w:rsid w:val="00F75E50"/>
    <w:rsid w:val="00F817D9"/>
    <w:rsid w:val="00F84DCA"/>
    <w:rsid w:val="00F970A1"/>
    <w:rsid w:val="00FA1ABB"/>
    <w:rsid w:val="00FA265A"/>
    <w:rsid w:val="00FA3692"/>
    <w:rsid w:val="00FA5D18"/>
    <w:rsid w:val="00FA5DCE"/>
    <w:rsid w:val="00FA7B2B"/>
    <w:rsid w:val="00FB28FF"/>
    <w:rsid w:val="00FC1FA4"/>
    <w:rsid w:val="00FC5E2D"/>
    <w:rsid w:val="00FC7D8D"/>
    <w:rsid w:val="00FE1275"/>
    <w:rsid w:val="00FE711A"/>
    <w:rsid w:val="00FF10A4"/>
    <w:rsid w:val="00FF48B7"/>
    <w:rsid w:val="00FF4A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363"/>
    <w:rPr>
      <w:rFonts w:ascii="Tahoma" w:hAnsi="Tahoma" w:cs="Tahoma"/>
      <w:sz w:val="16"/>
      <w:szCs w:val="16"/>
    </w:rPr>
  </w:style>
  <w:style w:type="paragraph" w:styleId="Header">
    <w:name w:val="header"/>
    <w:basedOn w:val="Normal"/>
    <w:link w:val="HeaderChar"/>
    <w:uiPriority w:val="99"/>
    <w:unhideWhenUsed/>
    <w:rsid w:val="00A56F68"/>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6F68"/>
  </w:style>
  <w:style w:type="paragraph" w:styleId="Footer">
    <w:name w:val="footer"/>
    <w:basedOn w:val="Normal"/>
    <w:link w:val="FooterChar"/>
    <w:uiPriority w:val="99"/>
    <w:unhideWhenUsed/>
    <w:rsid w:val="00A56F68"/>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6F68"/>
  </w:style>
  <w:style w:type="paragraph" w:styleId="ListParagraph">
    <w:name w:val="List Paragraph"/>
    <w:basedOn w:val="Normal"/>
    <w:uiPriority w:val="34"/>
    <w:qFormat/>
    <w:rsid w:val="00497DCC"/>
    <w:pPr>
      <w:ind w:left="720"/>
      <w:contextualSpacing/>
    </w:pPr>
    <w:rPr>
      <w:lang w:bidi="ar-SA"/>
    </w:rPr>
  </w:style>
  <w:style w:type="paragraph" w:styleId="FootnoteText">
    <w:name w:val="footnote text"/>
    <w:basedOn w:val="Normal"/>
    <w:link w:val="FootnoteTextChar"/>
    <w:uiPriority w:val="99"/>
    <w:unhideWhenUsed/>
    <w:rsid w:val="00C53AA1"/>
    <w:pPr>
      <w:spacing w:after="0" w:line="240" w:lineRule="auto"/>
    </w:pPr>
    <w:rPr>
      <w:sz w:val="20"/>
      <w:szCs w:val="20"/>
    </w:rPr>
  </w:style>
  <w:style w:type="character" w:customStyle="1" w:styleId="FootnoteTextChar">
    <w:name w:val="Footnote Text Char"/>
    <w:basedOn w:val="DefaultParagraphFont"/>
    <w:link w:val="FootnoteText"/>
    <w:uiPriority w:val="99"/>
    <w:rsid w:val="00C53AA1"/>
    <w:rPr>
      <w:sz w:val="20"/>
      <w:szCs w:val="20"/>
    </w:rPr>
  </w:style>
  <w:style w:type="character" w:styleId="FootnoteReference">
    <w:name w:val="footnote reference"/>
    <w:basedOn w:val="DefaultParagraphFont"/>
    <w:uiPriority w:val="99"/>
    <w:semiHidden/>
    <w:unhideWhenUsed/>
    <w:rsid w:val="00C53AA1"/>
    <w:rPr>
      <w:vertAlign w:val="superscript"/>
    </w:rPr>
  </w:style>
  <w:style w:type="character" w:customStyle="1" w:styleId="oneclick-link">
    <w:name w:val="oneclick-link"/>
    <w:basedOn w:val="DefaultParagraphFont"/>
    <w:rsid w:val="00B308FA"/>
  </w:style>
  <w:style w:type="character" w:customStyle="1" w:styleId="apple-converted-space">
    <w:name w:val="apple-converted-space"/>
    <w:basedOn w:val="DefaultParagraphFont"/>
    <w:rsid w:val="00B308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363"/>
    <w:rPr>
      <w:rFonts w:ascii="Tahoma" w:hAnsi="Tahoma" w:cs="Tahoma"/>
      <w:sz w:val="16"/>
      <w:szCs w:val="16"/>
    </w:rPr>
  </w:style>
  <w:style w:type="paragraph" w:styleId="Header">
    <w:name w:val="header"/>
    <w:basedOn w:val="Normal"/>
    <w:link w:val="HeaderChar"/>
    <w:uiPriority w:val="99"/>
    <w:unhideWhenUsed/>
    <w:rsid w:val="00A56F68"/>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6F68"/>
  </w:style>
  <w:style w:type="paragraph" w:styleId="Footer">
    <w:name w:val="footer"/>
    <w:basedOn w:val="Normal"/>
    <w:link w:val="FooterChar"/>
    <w:uiPriority w:val="99"/>
    <w:unhideWhenUsed/>
    <w:rsid w:val="00A56F68"/>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6F68"/>
  </w:style>
  <w:style w:type="paragraph" w:styleId="ListParagraph">
    <w:name w:val="List Paragraph"/>
    <w:basedOn w:val="Normal"/>
    <w:uiPriority w:val="34"/>
    <w:qFormat/>
    <w:rsid w:val="00497DCC"/>
    <w:pPr>
      <w:ind w:left="720"/>
      <w:contextualSpacing/>
    </w:pPr>
    <w:rPr>
      <w:lang w:bidi="ar-SA"/>
    </w:rPr>
  </w:style>
  <w:style w:type="paragraph" w:styleId="FootnoteText">
    <w:name w:val="footnote text"/>
    <w:basedOn w:val="Normal"/>
    <w:link w:val="FootnoteTextChar"/>
    <w:uiPriority w:val="99"/>
    <w:unhideWhenUsed/>
    <w:rsid w:val="00C53AA1"/>
    <w:pPr>
      <w:spacing w:after="0" w:line="240" w:lineRule="auto"/>
    </w:pPr>
    <w:rPr>
      <w:sz w:val="20"/>
      <w:szCs w:val="20"/>
    </w:rPr>
  </w:style>
  <w:style w:type="character" w:customStyle="1" w:styleId="FootnoteTextChar">
    <w:name w:val="Footnote Text Char"/>
    <w:basedOn w:val="DefaultParagraphFont"/>
    <w:link w:val="FootnoteText"/>
    <w:uiPriority w:val="99"/>
    <w:rsid w:val="00C53AA1"/>
    <w:rPr>
      <w:sz w:val="20"/>
      <w:szCs w:val="20"/>
    </w:rPr>
  </w:style>
  <w:style w:type="character" w:styleId="FootnoteReference">
    <w:name w:val="footnote reference"/>
    <w:basedOn w:val="DefaultParagraphFont"/>
    <w:uiPriority w:val="99"/>
    <w:semiHidden/>
    <w:unhideWhenUsed/>
    <w:rsid w:val="00C53AA1"/>
    <w:rPr>
      <w:vertAlign w:val="superscript"/>
    </w:rPr>
  </w:style>
  <w:style w:type="character" w:customStyle="1" w:styleId="oneclick-link">
    <w:name w:val="oneclick-link"/>
    <w:basedOn w:val="DefaultParagraphFont"/>
    <w:rsid w:val="00B308FA"/>
  </w:style>
  <w:style w:type="character" w:customStyle="1" w:styleId="apple-converted-space">
    <w:name w:val="apple-converted-space"/>
    <w:basedOn w:val="DefaultParagraphFont"/>
    <w:rsid w:val="00B30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952319">
      <w:bodyDiv w:val="1"/>
      <w:marLeft w:val="0"/>
      <w:marRight w:val="0"/>
      <w:marTop w:val="0"/>
      <w:marBottom w:val="0"/>
      <w:divBdr>
        <w:top w:val="none" w:sz="0" w:space="0" w:color="auto"/>
        <w:left w:val="none" w:sz="0" w:space="0" w:color="auto"/>
        <w:bottom w:val="none" w:sz="0" w:space="0" w:color="auto"/>
        <w:right w:val="none" w:sz="0" w:space="0" w:color="auto"/>
      </w:divBdr>
      <w:divsChild>
        <w:div w:id="956838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E68B4-BB0D-4EEC-B620-F1C353D56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3805</TotalTime>
  <Pages>30</Pages>
  <Words>10099</Words>
  <Characters>57566</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IAI</Company>
  <LinksUpToDate>false</LinksUpToDate>
  <CharactersWithSpaces>67530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Michael MLT</dc:creator>
  <cp:lastModifiedBy>Windows User</cp:lastModifiedBy>
  <cp:revision>377</cp:revision>
  <cp:lastPrinted>2017-03-05T18:42:00Z</cp:lastPrinted>
  <dcterms:created xsi:type="dcterms:W3CDTF">2017-02-10T08:01:00Z</dcterms:created>
  <dcterms:modified xsi:type="dcterms:W3CDTF">2017-03-05T19:36:00Z</dcterms:modified>
</cp:coreProperties>
</file>